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15,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CervoMed Inc.</w:t>
      </w:r>
    </w:p>
    <w:p>
      <w:pPr>
        <w:spacing w:after="0" w:line="43"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52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960" w:type="dxa"/>
            <w:vAlign w:val="bottom"/>
          </w:tcPr>
          <w:p>
            <w:pPr>
              <w:spacing w:after="0"/>
              <w:rPr>
                <w:sz w:val="17"/>
                <w:szCs w:val="17"/>
                <w:color w:val="auto"/>
              </w:rPr>
            </w:pPr>
          </w:p>
        </w:tc>
      </w:tr>
      <w:tr>
        <w:trPr>
          <w:trHeight w:val="212"/>
        </w:trPr>
        <w:tc>
          <w:tcPr>
            <w:tcW w:w="2060" w:type="dxa"/>
            <w:vAlign w:val="bottom"/>
          </w:tcPr>
          <w:p>
            <w:pPr>
              <w:spacing w:after="0"/>
              <w:rPr>
                <w:sz w:val="18"/>
                <w:szCs w:val="18"/>
                <w:color w:val="auto"/>
              </w:rPr>
            </w:pPr>
          </w:p>
        </w:tc>
        <w:tc>
          <w:tcPr>
            <w:tcW w:w="5240" w:type="dxa"/>
            <w:vAlign w:val="bottom"/>
          </w:tcPr>
          <w:p>
            <w:pPr>
              <w:jc w:val="center"/>
              <w:ind w:left="110"/>
              <w:spacing w:after="0"/>
              <w:rPr>
                <w:sz w:val="20"/>
                <w:szCs w:val="20"/>
                <w:color w:val="auto"/>
              </w:rPr>
            </w:pPr>
            <w:r>
              <w:rPr>
                <w:rFonts w:ascii="Arial" w:cs="Arial" w:eastAsia="Arial" w:hAnsi="Arial"/>
                <w:sz w:val="18"/>
                <w:szCs w:val="18"/>
                <w:color w:val="auto"/>
                <w:w w:val="90"/>
              </w:rPr>
              <w:t>___________________________</w:t>
            </w:r>
          </w:p>
        </w:tc>
        <w:tc>
          <w:tcPr>
            <w:tcW w:w="1960" w:type="dxa"/>
            <w:vAlign w:val="bottom"/>
          </w:tcPr>
          <w:p>
            <w:pPr>
              <w:spacing w:after="0"/>
              <w:rPr>
                <w:sz w:val="18"/>
                <w:szCs w:val="18"/>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001-24477</w:t>
            </w:r>
          </w:p>
        </w:tc>
        <w:tc>
          <w:tcPr>
            <w:tcW w:w="1960" w:type="dxa"/>
            <w:vAlign w:val="bottom"/>
          </w:tcPr>
          <w:p>
            <w:pPr>
              <w:jc w:val="right"/>
              <w:ind w:right="190"/>
              <w:spacing w:after="0"/>
              <w:rPr>
                <w:sz w:val="20"/>
                <w:szCs w:val="20"/>
                <w:color w:val="auto"/>
              </w:rPr>
            </w:pPr>
            <w:r>
              <w:rPr>
                <w:rFonts w:ascii="Arial" w:cs="Arial" w:eastAsia="Arial" w:hAnsi="Arial"/>
                <w:sz w:val="18"/>
                <w:szCs w:val="18"/>
                <w:b w:val="1"/>
                <w:bCs w:val="1"/>
                <w:color w:val="auto"/>
              </w:rPr>
              <w:t>30-0645032</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w:t>
            </w:r>
          </w:p>
        </w:tc>
        <w:tc>
          <w:tcPr>
            <w:tcW w:w="52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(Commission</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24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300" w:type="dxa"/>
            <w:vAlign w:val="bottom"/>
            <w:gridSpan w:val="2"/>
          </w:tcPr>
          <w:p>
            <w:pPr>
              <w:jc w:val="center"/>
              <w:ind w:right="1350"/>
              <w:spacing w:after="0"/>
              <w:rPr>
                <w:sz w:val="20"/>
                <w:szCs w:val="20"/>
                <w:color w:val="auto"/>
              </w:rPr>
            </w:pPr>
            <w:r>
              <w:rPr>
                <w:rFonts w:ascii="Arial" w:cs="Arial" w:eastAsia="Arial" w:hAnsi="Arial"/>
                <w:sz w:val="18"/>
                <w:szCs w:val="18"/>
                <w:b w:val="1"/>
                <w:bCs w:val="1"/>
                <w:color w:val="auto"/>
                <w:w w:val="91"/>
              </w:rPr>
              <w:t>20 Park Plaza, Suite 424</w:t>
            </w:r>
          </w:p>
        </w:tc>
        <w:tc>
          <w:tcPr>
            <w:tcW w:w="19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240" w:type="dxa"/>
            <w:vAlign w:val="bottom"/>
          </w:tcPr>
          <w:p>
            <w:pPr>
              <w:jc w:val="center"/>
              <w:ind w:right="3410"/>
              <w:spacing w:after="0"/>
              <w:rPr>
                <w:sz w:val="20"/>
                <w:szCs w:val="20"/>
                <w:color w:val="auto"/>
              </w:rPr>
            </w:pPr>
            <w:r>
              <w:rPr>
                <w:rFonts w:ascii="Arial" w:cs="Arial" w:eastAsia="Arial" w:hAnsi="Arial"/>
                <w:sz w:val="18"/>
                <w:szCs w:val="18"/>
                <w:b w:val="1"/>
                <w:bCs w:val="1"/>
                <w:color w:val="auto"/>
                <w:w w:val="86"/>
              </w:rPr>
              <w:t>Boston, Massachusetts</w:t>
            </w: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02216</w:t>
            </w:r>
          </w:p>
        </w:tc>
      </w:tr>
      <w:tr>
        <w:trPr>
          <w:trHeight w:val="234"/>
        </w:trPr>
        <w:tc>
          <w:tcPr>
            <w:tcW w:w="7300" w:type="dxa"/>
            <w:vAlign w:val="bottom"/>
            <w:gridSpan w:val="2"/>
          </w:tcPr>
          <w:p>
            <w:pPr>
              <w:jc w:val="center"/>
              <w:ind w:right="13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(617) 744-4400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Diffusion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East Main Street, Suite 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Charlottesville, Virginia 22902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CRVO</w:t>
            </w:r>
          </w:p>
        </w:tc>
        <w:tc>
          <w:tcPr>
            <w:tcW w:w="12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16, 2023, the Delaware corporation formerly known as “Diffusion Pharmaceuticals Inc.” completed its previously announced merger transaction in accordance with the terms and conditions of the Agreement and Plan of Merger, dated as of March 30, 2023 (the “Merger Agreement”), by and among Diffusion Pharmaceuticals Inc. (“Diffusion”), Dawn Merger Sub Inc., a wholly owned subsidiary of Diffusion (“Merger Sub”), and EIP Pharma, Inc. (“EIP”), pursuant to which Merger Sub merged with and into EIP, with EIP surviving the merger as a wholly owned subsidiary of Diffusion (the “Merger”). Additionally, on August 16, 2023, the Company changed its name from “Diffusion Pharmaceuticals Inc.” to “CervoMed Inc.” (the “Company”). See Item 2.01 for additional information regarding completion of the Merger.</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on March 30, 2023, Diffusion, Merger Sub and EIP entered into the Merger Agreement. Upon the terms and subject to the satisfaction (or waiver) of the conditions described in the Merger Agreement, including the approval of the transaction by Diffusion’s stockholders, Merger Sub would be merged with and into EIP, with EIP surviving the Merger as a wholly owned subsidiary of Diffusion. The Merger is intended to qualify as a tax-free reorganization for U.S. federal income tax purposes. In connection with the Merger, certain officers, directors and stockholders of EIP and continuing directors of Diffusion entered into lock-up agreements, pursuant to which they accepted certain restrictions on transfers of the shares of the Company following the effective time of the Merger (the “Effective Time”).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16, 2023, in connection with the transactions contemplated by the Merger Agreement and following a special meeting of Diffusion’s stockholders (the “Special Meeting”) and prior to the effective time of the Merger Certificate (as defined below), Diffusion filed a certificate of amendment to its Certificate of Incorporation, as amended (the “Diffusion Charter”) effecting a reverse stock split of Diffusion’s common stock, par value $0.001 per share (“Diffusion common stock”), at a ratio of 1-for-1.5 (the “Reverse Stock Split”) (the “Reverse Stock Split Amendment”).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on August 16, 2023, Diffusion, Merger Sub and EIP consummated the transactions contemplated by the Merger Agreement. Pursuant to the Certificate of Merger filed with the Secretary of State of the State of Delaware on August 16, 2023 (the “Merger Certificate”), Merger Sub was merged with and into EIP and EIP became a wholly owned subsidiary of the Company. At the Effective Time, each outstanding share of EIP capital stock (after giving effect to (i) the automatic conversion of all shares of EIP preferred stock into shares of EIP common stock, (ii) the conversion of EIP’s convertible notes into shares of EIP common stock, and excluding any shares held as treasury stock by EIP or held or owned by Diffusion or any subsidiary of Diffusion or EIP and any dissenting shares) was converted into the right to receive 0.1151 shares of Diffusion common stock, which resulted in the issuance by Diffusion of an aggregate of 5,674,250 shares of Diffusion common stock to the stockholders of EIP (the “Exchange Shares”). Certain former EIP equity holders received pre-funded warrants at the Effective Time in lieu of an equivalent number of shares of Diffusion common stock. The issuance of the Exchange Shares was registered with the SEC on a Registration Statement on Form S-4, as amended (Reg. No. 333-271823) (the “Registration Statement”). The shares of Diffusion common stock listed on the Nasdaq Capital Market, previously trading through the close of business on August 16, 2023 under the ticker symbol “DFFN,” commenced trading on a post-Reverse Stock Split basis on the Nasdaq Capital Market on August 17, 2023, under the ticker symbol “CRVO.” The common stock has a new CUSIP number, 15713L109. In addition, at the Effective Time, Diffusion assumed the EIP 2018 Employee, Director and Consultant Equity Incentive Plan (the “EIP Plan”) and each outstanding and unexercised option to purchase EIP common stock and each outstanding and unexercised warrant to purchase EIP capital stock were adjusted with such stock options and warrants (“Warrants”) henceforth representing the right to purchase a number of shares of the Company’s common stock equal to 0.1151 multiplied by the number of shares of EIP common stock previously represented by such options and warrants.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Merger is being treated as a reverse recapitalization under U.S. generally accepted accounting principles. EIP is considered the accounting acquirer for financial reporting purposes.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following to the consummation of the Merger, Diffusion filed a certificate of amendment (the “Name Change Amendment”) to the Diffusion Charter changing its name from “Diffusion Pharmaceuticals Inc.” to “CervoMed Inc.”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consummation of the Merger, the business previously conducted by EIP became the business conducted by the Company, which is now a clinical-stage biopharmaceutical company advancing CNS-focused therapeutics to benefit patients with a range of debilitating neurodegenerative diseases. The Company is currently developing neflamapimod, an investigational orally administered small molecule brain penetrant that inhibits p38MAP kinase alpha (p38α). Neflamapimod has the potential to treat synaptic dysfunction, the reversible aspect of the underlying neurodegenerative processes that cause disease in dementia with Lewy bodies (DLB) and certain other major neurological disorders. Neflamapimod is currently being evaluated in a Phase 2b study in patients with DLB. The Company’s headquarters are located in Boston, Massachusetts (EIP’s former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Immediately following the consummation of the Merger, there were approximately 5.7 million shares of the Company’s common stock outstanding, with prior EIP equityholders collectively owning approximately 77.95% of the Company and prior Diffusion equityholders collectively own approximately 22.05% of the Company, in each case, on a fully-diluted basis.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descriptions of the Merger Agreement, the Merger Certificate, the Reverse Stock Split Amendment, the Name Change Amendment and Warrants do not constitute a complete summary of the terms of the Merger Agreement, the Merger Certificate, the Reverse Stock Split Amendment, the Name Change Amendment or the Warrants, and are qualified in their entirety by reference to the full text of the Merger Agreement, the Merger Certificate, the Reverse Stock Split Amendment, the Name Change Amendment and the form of Warrant, copies of which are attached to this Current Report on Form 8-K as Exhibits 2.1, 3.2, 3.3, 3.4 and 4.1 hereto and are incorporated herein by reference.</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required by Item 3.03 of Form 8-K, the information contained in Item 2.01 of this Current Report on Form 8-K regarding the Reverse Stock Split Amendment is incorporated by reference herein.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previously disclosed, at the Special Meeting, Diffusion’s stockholders approved the Reverse Stock Split Amendment to effect the Reverse Stock Split within a range of one new share for not less than 1.5 and not greater than 8 shares outstanding and, in connection with the Special Meeting, Diffusion’s board of directors made the determination to implement the Reverse Stock Split at a ratio of one new share for every 1.5 pre-split shares.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2023, in connection with the Merger, Diffusion filed the Reverse Stock Split Amendment effecting the Reverse Stock Split. As of the opening of trading on The Nasdaq Capital Market on August 17, 2023, the Company’s common stock commenced trading on a Reverse Stock Split-adjusted basis under the ticker symbol “CRVO”.</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Reverse Stock Split, the number of issued and outstanding shares of Diffusion common stock immediately prior to the Reverse Stock Split was reduced into a smaller number of shares, such that every 1.5 shares of Diffusion common stock held by a stockholder immediately prior to the Reverse Stock Split were combined and reclassified into one share of Diffusion’s common stock after the Reverse Stock Split.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fractional shares were issued in connection with the Reverse Stock Split. In accordance with the Reverse Stock Split Amendment, each stockholder who would otherwise be entitled to receive a fractional share of Diffusion’s common stock upon the consummation of the Reverse Stock Split shall have that fractional share rounded up to one additional whole share.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the Reverse Stock Split Amendment, no corresponding adjustment was made with respect to the Company’s authorized shares of common stock or preferred stock. The Reverse Stock Split has no effect on the par value of the Company’s common stock or preferred stock. Immediately after the Reverse Stock Split and prior to the consummation of the Merger, each stockholder’s percentage ownership interest in Diffusion and proportional voting power remained unchanged, other than as a result of the rounding to eliminate fractional shares, as described in the preceding paragraph. The rights and privileges of the holders of shares of Diffusion common stock were unaffected by the Reverse Stock Split. Proportional adjustments have also been made to the Company’s outstanding warrants, stock options, and restricted stock units, as well as to the reserves available pursuant to and terms of the Company’s 2015 Equity Incentive Plan, as amended, to reflect the Reverse Stock Split, in each case, in accordance with the terms thereof.</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 of the Reverse Stock Split Amendment is not complete and is subject to and qualified in its entirety by reference to the Reverse Stock Split Amendment, a copy of which is attached as Exhibit 3.3 to this Current Report on Form 8-K and is incorporated herein by reference.</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w:t>
      </w:r>
      <w:r>
        <w:rPr>
          <w:rFonts w:ascii="Arial" w:cs="Arial" w:eastAsia="Arial" w:hAnsi="Arial"/>
          <w:sz w:val="16"/>
          <w:szCs w:val="16"/>
          <w:color w:val="auto"/>
        </w:rPr>
        <w:t>’</w:t>
      </w:r>
      <w:r>
        <w:rPr>
          <w:rFonts w:ascii="Arial" w:cs="Arial" w:eastAsia="Arial" w:hAnsi="Arial"/>
          <w:sz w:val="16"/>
          <w:szCs w:val="16"/>
          <w:b w:val="1"/>
          <w:bCs w:val="1"/>
          <w:color w:val="auto"/>
        </w:rPr>
        <w:t>s Certifying Accountant.</w:t>
      </w:r>
    </w:p>
    <w:p>
      <w:pPr>
        <w:spacing w:after="0" w:line="229" w:lineRule="exact"/>
        <w:rPr>
          <w:sz w:val="20"/>
          <w:szCs w:val="20"/>
          <w:color w:val="auto"/>
        </w:rPr>
      </w:pPr>
    </w:p>
    <w:p>
      <w:pPr>
        <w:ind w:right="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16, 2023, the Audit Committee (the “Audit Committee”) of the board of directors of the Company approved the dismissal of KPMG LLP (“KPMG”) as the Company’s independent registered public accounting firm, effective immediately.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reports of KPMG on the Company’s consolidated financial statements as of and for each of the two fiscal years ended December 31, 2022 and December 31, 2021 did not contain an adverse opinion or a disclaimer of opinion, nor were they qualified or modified as to uncertainty, audit scope or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During the two fiscal years ended December 31, 2022 and December 31, 2021, and the subsequent interim period through August 16, 2023, there were no:</w:t>
      </w:r>
    </w:p>
    <w:p>
      <w:pPr>
        <w:spacing w:after="0" w:line="46" w:lineRule="exact"/>
        <w:rPr>
          <w:sz w:val="20"/>
          <w:szCs w:val="20"/>
          <w:color w:val="auto"/>
        </w:rPr>
      </w:pPr>
    </w:p>
    <w:p>
      <w:pPr>
        <w:jc w:val="both"/>
        <w:ind w:firstLine="8"/>
        <w:spacing w:after="0" w:line="253"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“disagreements” (as that term is defined in Item 304(a)(1)(iv) of Regulation S-K and related instructions) between the Company and KPMG on any matter of accounting principles or practices, financial statement disclosure or auditing scope and procedures, which if not resolved to the satisfaction of KPMG, would have caused KPMG to make reference in connection with their opinion to the subject matter of the disagreement, or (2) reportable events (as defined by Item 304(a)(1)(v) of Regulation S-K).</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provided KPMG with a copy of the disclosures it is making in this Item 4.01 and requested that KPMG furnish a letter addressed to the Securities and Exchange Commission stating whether or not it agrees with the statements made in this Item 4.01. A copy of KPMG’s letter, dated August 17, 2023, is filed as Exhibit 16.1 to this Current Report on Form 8-K.</w:t>
      </w:r>
    </w:p>
    <w:p>
      <w:pPr>
        <w:spacing w:after="0" w:line="184" w:lineRule="exact"/>
        <w:rPr>
          <w:sz w:val="20"/>
          <w:szCs w:val="20"/>
          <w:color w:val="auto"/>
        </w:rPr>
      </w:pPr>
    </w:p>
    <w:p>
      <w:pPr>
        <w:jc w:val="both"/>
        <w:ind w:firstLine="8"/>
        <w:spacing w:after="0" w:line="263" w:lineRule="auto"/>
        <w:tabs>
          <w:tab w:leader="none" w:pos="286"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16, 2023, the Audit Committee approved, on behalf of the Company, the engagement of RSM US LLP (“RSM”) as the Company’s independent registered public accounting firm for the fiscal year ending December 31, 2023. Prior to the completion of the Merger, RSM served as the auditor of EIP since December 2017.</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years ended December 31, 2022 and 2021, and the subsequent interim period through August 16, 2023, neither Diffusion nor anyone on its behalf consulted with RSM, regarding either (i) the application of accounting principles to a specific transaction, completed or proposed, or the type of audit opinion that might be rendered on Diffusion’s financial statements, and neither a written report nor oral advice was provided to Diffusion that RSM concluded was an important factor considered by Diffusion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required by Item 5.01 of Form 8-K, the disclosures contained in Items 2.01 and 5.02 of this Current Report on Form 8-K are incorporated herein by reference.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Immediately following the consummation of the Merger, the prior EIP equityholders collectively owned approximately 77.95% of the Company and the prior Diffusion equityholders collectively owned approximately 22.05% of the Company, in each case, on a fully-diluted basis. In addition, the seven-member board of directors of the Company includes five individuals who are designees of EIP and served as members of the board of directors of EIP immediately prior to the Merger. These directors possess majority control of the board of directors of the Company.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the Merger Agreement, on August 16, 2023, immediately prior to the Effective Time, each of Alan Levin, Robert Adams, J.D., Mark T. Giles, J.D., Diana Lanchoney, M.D. and Robert J. Cobuzzi, Jr., resigned from the Company’s board of directors and any respective committees of the board of directors to which they belonged. Following such resignation, at the Effective Time, on August 16, 2023, the Company’s board of directors and its committees were reconstituted, with Sylvie Grégoire, Pharm.D., Jeff Poulton, Marwan Sabbagh, M.D., Frank Zavrl, John Alam, M.D., being appointed as directors of the Company and Jane Hollingsworth, J.D., and Jill Davidson continuing as directors of the Company, in all cases, with terms expiring at the Company’s 2023 annual meeting of stockholders, and Dr. Grégoire was appointed Chair of the Company’s board of directors.</w:t>
      </w:r>
    </w:p>
    <w:p>
      <w:pPr>
        <w:spacing w:after="0" w:line="160" w:lineRule="exact"/>
        <w:rPr>
          <w:sz w:val="20"/>
          <w:szCs w:val="20"/>
          <w:color w:val="auto"/>
        </w:rPr>
      </w:pPr>
    </w:p>
    <w:p>
      <w:pPr>
        <w:ind w:left="820" w:right="34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Directors and Termination of Executive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the terms of the Merger Agreement, (i) each of Alan Levin, Robert Adams, J.D., Mark T. Giles, J.D. and Diana Lanchoney, M.D. resigned from Diffusion’s board of directors and any respective committee membership of Diffusion’s board of directors, effective as of the Effective Time and (ii) Robert J. Cobuzzi Jr., Ph.D., the Company’s Chief Executive Officer, resigned as the Company’s Chief Executive Officer and as a director of the Company, in each case, as of the Effective Time and was appointed as Chief Operating Officer. William Elder will step down from his role as Principal Financial Officer and will remain employed by the Company as the General Counsel and Corporate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Appointment of Directors and Executive Officers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Effective Time, the Company’s board of directors (and its committees) and executive officers were reconstituted to include the following directors and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500" w:type="dxa"/>
            <w:vAlign w:val="bottom"/>
            <w:gridSpan w:val="2"/>
          </w:tcPr>
          <w:p>
            <w:pPr>
              <w:ind w:left="2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John Alam, M.D.</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61</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 (Principal Executive Officer)</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William Tanner, Ph.D.</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65</w:t>
            </w: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(Principal Financial Officer)</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Robert J. Cobuzzi, Jr., Ph.D.</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58</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Kelly Blackburn, M.H.A.</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59</w:t>
            </w: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Clinical Development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William Elder</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40</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Sylvie Grégoire, PharmD.</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61</w:t>
            </w: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 of the Board of Directors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Jane Hollingsworth, J.D.</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65</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Jeff Poulton</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55</w:t>
            </w: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Marwan Sabbagh, M.D.</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57</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Frank Zavrl</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58</w:t>
            </w: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Jill Davidson</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66</w:t>
            </w: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directors have a term expiring at the Company’s 2023 annual meeting of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Jeff Poulton (Chair), Frank Zavrl and Jane Hollingsworth, J.D. The members of the Compensation Committee are Frank Zavrl (Chair), Jeff Poulton and Jane Hollingsworth, J.D. The members of the Nominating and Corporate Governance Committee are Jane Hollingsworth, J.D. (Chair), Marwan Sabbagh, M.D. and Frank Zavrl.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Merger Agreement, each of (i) John Alam, M.D., Sylvie Grégoire, PharmD., Jeff Poulton, Marwan Sabbagh, M.D., and Frank Zavrl were appointed to the board of directors of the Company as designees of EIP and (ii) Jane Hollingsworth, J.D. and Jill Davidson remained on the board of directors of the Company as designees of Diffusion. Each of the non-employee directors of the Company will be eligible to receive compensation pursuant to the Company’s non-employee director compensation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John Alam, MD </w:t>
      </w:r>
      <w:r>
        <w:rPr>
          <w:rFonts w:ascii="Arial" w:cs="Arial" w:eastAsia="Arial" w:hAnsi="Arial"/>
          <w:sz w:val="16"/>
          <w:szCs w:val="16"/>
          <w:color w:val="auto"/>
        </w:rPr>
        <w:t>has served as the President and Chief Executive Officer of the Company since August 2023. Dr. Alam was EIP’s co-founder and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EIP’s President and Chief Executive Officer and as a member of EIP’s board of directors from April 2018 to August 2023. Prior to that, Dr. Alam served as a managing member of EIP Pharma, LLC, EIP’s predecessor entity, from its inception in 2010. From January 2011 to August 2014, Dr. Alam served as therapeutic area head for diseases of aging at Sanofi S.A. (NASDAQ: SNY), a global pharmaceutical company. From 1997 until 2008, he held positions of increasing responsibility at Vertex Pharmaceuticals Incorporated (NASDAQ: VRTX), most recently as Chief Medical Officer and Executive Vice President, Medicines Development. From 1991 to 1997, Dr. Alam worked at Biogen Inc. (NASDAQ: BIIB), where he led the clinical development of Avonex, a drug that treats multiple sclerosis. From 2014 to 2022, Dr. Alam served as a member of the board of directors of the Alliance for Aging Research, a non-profit organization dedicated to promoting innovation to address the healthcare needs of older Americans. Dr. Alam received an S.B. in chemical engineering from the Massachusetts Institute of Technology and a M.D. from Northwestern University School of Medicine. Dr. Alam completed an internal medicine residency at Brigham and Women’s Hospital and a post-doctoral fellowship at Dana-Farber Cancer Institute.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board of directors believes that Dr. Alam is qualified to serve on the combined company’s board of directors due to his service as EIP’s president and chief executive officer, and his extensive knowledge of our company and significant background in pharmaceutical research and development.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William Tanner, Ph.D </w:t>
      </w:r>
      <w:r>
        <w:rPr>
          <w:rFonts w:ascii="Arial" w:cs="Arial" w:eastAsia="Arial" w:hAnsi="Arial"/>
          <w:sz w:val="17"/>
          <w:szCs w:val="17"/>
          <w:color w:val="auto"/>
        </w:rPr>
        <w:t>has served as the Company’s Chief Financial Officer since August 2023. He previously served as EIP’s Chief Financial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2022 to August 2023. Dr. Tanner has been a consultant at Danforth Advisors, a financial and operational company for outsourced corporate and clinical business functions, since November 2021 and previously served as the chief financial officer of Danforth Advisors from November 2021 to April 2022. He co-founded ImmunoGenesis, Inc., an immuno-oncology company, in May 2019 and served as its Chief Financial Officer until October 2021. From November 2022 to April 2023, Dr. Tanner served as the chief financial officer of siRNAgen Therapeutics and from May 2021 to April 2023, he served as the interim chief financial officer of Synthis Therapeutics, Inc. Prior to that, Dr. Tanner was a managing director at Brookline Capital Markets from April 2019 to May 2019, an analyst at Cantor Fitzgerald &amp; Co. from November 2016 to November 2018, and an analyst at Guggenheim Securities from May 2015 to November 2016. Dr. Tanner earned his B.S. and Ph.D. in physiology from Texas A&amp;M University and completed post-doctoral training in Washington University School of Medicine’s Department of Cell Biology and in the Center for Immunology. He received his MBA from Washington University’s Olin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Robert J. Cobuzzi, Jr., Ph.D. </w:t>
      </w:r>
      <w:r>
        <w:rPr>
          <w:rFonts w:ascii="Arial" w:cs="Arial" w:eastAsia="Arial" w:hAnsi="Arial"/>
          <w:sz w:val="17"/>
          <w:szCs w:val="17"/>
          <w:color w:val="auto"/>
        </w:rPr>
        <w:t>has served as the Company’s Chief Operating Officer since August 2023. Dr. Cobuzzi previously served as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from September 2020 to August 2023, and was a member of the board of directors of the Company from January 2020 until August 2023. Dr. Cobuzzi also currently serves as a Venture Partner and Chairman of the Business Development Board for Sunstone Life Science Ventures, an independent European venture capital investment firm focused on life science therapeutic innovations. Previously, Dr. Cobuzzi served as an Advisor to the Mitochondrial Disease Research Program at the Children’s Hospital of Philadelphia, an internationally recognized hospital and research center devoted to children, from January 2019 to April 2020, and as President and Chief Executive Officer of MitoCUREia, Inc., an affiliated company, from July 2019 to July 2020. From 2005 to 2018, Dr. Cobuzzi served in various roles at Endo International PLC, a specialty branded and generic pharmaceuticals manufacturer, most recently serving as President of Endo Ventures Limited. Dr. Cobuzzi received his Bachelor of Arts in Biochemistry and Art History from Colby College and his Ph.D. in Molecular and Cellular Biochemistry from Loyola University Chicago. He served as a Post-doctoral Fellow in Experimental Therapeutics at Roswell Park Cancer Institute.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Kelly Blackburn, M.H.A. </w:t>
      </w:r>
      <w:r>
        <w:rPr>
          <w:rFonts w:ascii="Arial" w:cs="Arial" w:eastAsia="Arial" w:hAnsi="Arial"/>
          <w:sz w:val="17"/>
          <w:szCs w:val="17"/>
          <w:color w:val="auto"/>
        </w:rPr>
        <w:t>has served as Senior Vice President, Clinical Development of the Company since August 2023. Ms. Blackburn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Vice President, Clinical Development of EIP from May 2018 to August 2023. Previously, Ms. Blackburn served as Vice President, Clinical Affairs of aTyr Pharma, Inc. (NASDAQ: LIFE) from July 2013 to July 2016. Ms. Blackburn served as a clinical development consultant from September 2012 to July 2013 to a number of companies, including Agios Pharmaceuticals, Promedior Inc. and aTyr Pharma. Prior to this, Ms. Blackburn was the Vice President, Clinical Development Operations at Vertex Pharmaceuticals Incorporated (NASDAQ: VRTX), a global biotechnology company, from September 2006 to September 2012 overseeing programs for Incivek, Kalydeco as well as their early development programs. From September 2002 to August 2006, Ms. Blackburn was Director of Clinical and Safety Operations for Millennium Pharmaceuticals where she was responsible for the VELCADE program which was successfully approved during her tenure. Ms. Blackburn holds a B.S. in biochemistry from University of New Hampshire, an M.H.A. from Quinnipiac College and a M.Ed. from Cambridge College.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William Elder </w:t>
      </w:r>
      <w:r>
        <w:rPr>
          <w:rFonts w:ascii="Arial" w:cs="Arial" w:eastAsia="Arial" w:hAnsi="Arial"/>
          <w:sz w:val="18"/>
          <w:szCs w:val="18"/>
          <w:color w:val="auto"/>
        </w:rPr>
        <w:t>has served as the Company’s General Counsel &amp; Corporate Secretary since September 2020. Mr. Elder previously served as Diffusion’s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Financial Officer from June 2023 to August 2023. Prior to joining Diffusion, Mr. Elder principally served as president and chief executive officer of BillyVonElds, LLC, a season-long and daily fantasy sports company, where he managed all corporate, legal, and operational aspects of the business from April 2019 to September 2020. From July 2020 to September 2020, Mr. Elder also served as a part-time consultant to Diffusion. From 2011 to February 2019, Mr. Elder served as a corporate and securities associate for Dechert LLP, an international law firm, where Mr. Elder’s practice focused primarily on counseling public companies on securities laws and regulatory requirements, corporate governance matters, and financial transactions in the equity and debt markets. He received his J.D. from the University of Pennsylvania Law School, an M.S. in finance from Villanova University, and a B.A. in economics from Tufts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Sylvie Gr</w:t>
      </w:r>
      <w:r>
        <w:rPr>
          <w:rFonts w:ascii="Arial" w:cs="Arial" w:eastAsia="Arial" w:hAnsi="Arial"/>
          <w:sz w:val="17"/>
          <w:szCs w:val="17"/>
          <w:color w:val="auto"/>
        </w:rPr>
        <w:t>é</w:t>
      </w:r>
      <w:r>
        <w:rPr>
          <w:rFonts w:ascii="Arial" w:cs="Arial" w:eastAsia="Arial" w:hAnsi="Arial"/>
          <w:sz w:val="17"/>
          <w:szCs w:val="17"/>
          <w:b w:val="1"/>
          <w:bCs w:val="1"/>
          <w:i w:val="1"/>
          <w:iCs w:val="1"/>
          <w:color w:val="auto"/>
        </w:rPr>
        <w:t xml:space="preserve">goire, Pharm.D. </w:t>
      </w:r>
      <w:r>
        <w:rPr>
          <w:rFonts w:ascii="Arial" w:cs="Arial" w:eastAsia="Arial" w:hAnsi="Arial"/>
          <w:sz w:val="17"/>
          <w:szCs w:val="17"/>
          <w:color w:val="auto"/>
        </w:rPr>
        <w:t>has served as the Company’s Chair of the board of directors since August 2023. Dr. Grégoire was EIP’s co-founder and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EIP’s Executive Chair and as a member of EIP’s board of directors from April 2018 to August 2023. From May 2013 to May 2019, Dr. Grégoire served as a director for Vifor Pharma AG (SIX: VIFN), a global pharmaceutical company focused on treatments for renal disease. From September 2007 to May 2013, Dr. Grégoire served as President of the Human Genetic Therapies division of Shire plc, a global biopharmaceutical company recently acquired by Takeda Pharmaceutical Company Limited. From 2005 to 2008, she served as a director of IDM Pharma, Inc., a publicly traded biotechnology company that now operates as a subsidiary of Takeda Pharmaceuticals Company Limited, including serving as its Executive Chair from August 2006 to October 2007. From 2004 to 2005, Dr. Grégoire served as President, Chief Executive Officer and Executive Member of the board of directors of GlycoFi, Inc., a private biotechnology company now part of Merck and Co., Inc. Prior to that, Dr. Grégoire held various leadership positions at Biogen, Inc. (NASDAQ: BIIB), including Vice-President (head) of Regulatory Affairs, Vice-President (head) of Manufacturing, and as Executive Vice President of Technical Operations. Dr. Grégoire also served at Merck and Co., Inc. in the US and internationally in clinical research and regulatory affairs. Dr. Grégoire serves on the board of directors of Novo Nordisk A/S (NYSE: NVO), a global pharmaceutical company, where she sits on the audit committee, the nomination committee and the research and development committee. Dr. Grégoire has also serves on the board of directors of Revvity Inc (NASDAQ: RVTY) (previously PerkinElmer, Inc. (NYSE: PKI)), a publicly traded company and a provider of products, services and solutions for the diagnostics, life sciences and applied markets, since February 2015. At Revvity, she also serves on the compensation and benefits committee and the nominating and corporate governance committee. In addition, Dr. Grégoire served as chair of the board of directors of Corvidia Therapeutics, Inc., from 2016 to 2020, a private company focused on treatments for cardio-renal diseases. Corvidia was sold to NovoNordisk in 2020. Dr Gregoire serves on the board of F2G Ltd, a privately held company developing treatments for severe rare mold infections since December 2021 where she is also the chair of the Commercial Committee. Dr. Grégoire received a bachelor’s degree in Pharmacy from Laval University and a doctoral degree in Pharmacy from the State University of New York at Buffalo.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believes that Dr. Grégoire is qualified to serve on the combined company’s board of directors due to her management experience in the pharmaceutical and biotechnology sector and her broad experience of service on other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Jane H. Hollingsworth, J.D. </w:t>
      </w:r>
      <w:r>
        <w:rPr>
          <w:rFonts w:ascii="Arial" w:cs="Arial" w:eastAsia="Arial" w:hAnsi="Arial"/>
          <w:sz w:val="17"/>
          <w:szCs w:val="17"/>
          <w:color w:val="auto"/>
        </w:rPr>
        <w:t>has served as a director of the Company since September 2020. Ms. Hollingsworth previously served as Chair of Diffusion’s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from September 2020 to August 2023. She currently serves as the founding Managing Partner of Militia Hill Ventures, an organization that creates, builds, and invests in life sciences companies, a role she has held since 2013. While at Militia Hill, Jane co-founded and currently serves as Executive Chair of Eliksa Therapeutics, a regenerative medicine company, co-founded and served as Executive Chair of Spirovant Sciences, a gene therapy company sold to Sumitomo Dainippon Pharma, and served as Executive Chair and CEO of Immunome Inc. (NASDAQ: IMNM), a cancer immunotherapy company. Prior to founding Militia Hill, Ms. Hollingsworth co-founded and served as Chief Executive Officer of NuPathe, Inc., a neuroscience focused biopharmaceutical company. She also co-founded and served as EVP of Auxilium Pharmaceuticals, a urology and rare disease focused biopharmaceutical company. Ms. Hollingsworth also currently serves on the boards of the life science companies Afimmune Ltd. and Ribonova, and various industry and community organizations, including the University City Science Center, the Kimmel Center for the Performing Arts and Breatcancer.Org. Ms. Hollingsworth received her B.A. from Gettysburg College and her J.D. from Villanova University.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board of directors believes that Ms. Hollingsworth is qualified to serve on the combined company’s board of directors due to her industry perspective and experience, including as chief executive officer and director of a publicly-traded biopharmaceutical company, as well as her depth of her other operating and senior management experience in the industry and educational background.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Jeff Poulton </w:t>
      </w:r>
      <w:r>
        <w:rPr>
          <w:rFonts w:ascii="Arial" w:cs="Arial" w:eastAsia="Arial" w:hAnsi="Arial"/>
          <w:sz w:val="16"/>
          <w:szCs w:val="16"/>
          <w:color w:val="auto"/>
        </w:rPr>
        <w:t>has been a member of the Company’s board of directors since August 2023. Mr. Poulton previously served on EIP’s board of directors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2018 to August 2023. Since July 2019, Mr. Poulton has served as Chief Financial Officer at Alnylam Pharmaceuticals, Inc. (NASDAQ: ALNY), a global biopharmaceutical company based in Cambridge, Massachusetts. From January 2018 to April 2019, Mr. Poulton served as chief financial officer at Indigo Agriculture, a plant microbiome company. From September 1998 to December 2017, Mr. Poulton held various roles of increasing responsibility at Shire plc, a biotechnology company, culminating in his service as chief financial officer from July 2014 to December 2017 and a member of Shire’s executive committee and board of directors from January 2015 to December 2017. During his tenure at Shire, Mr. Poulton also lead Shire’s rare disease US/APAC and LATAM commercial operations, as well as Shire’s rare disease business unit. Prior to his tenure at Shire, Mr. Poulton led corporate finance and business development initiatives in both the gas and electric utilities industry and the materials manufacturing sector, serving in financial leadership positions at Cinergy Corporation and PPG Industries, Inc. Mr. Poulton also served as a U.S. Navy Commissioned Officer aboard the USS Peoria. Mr. Poulton holds a B.A. in Economics from Duke University and an MBA in Finance from the Kelly School of Business at Indiana University.</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believes that Mr. Poulton is qualified to serve on the combined company’s board of directors due to his significant financial and operational experience in the life sciences industry.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Frank Zavrl </w:t>
      </w:r>
      <w:r>
        <w:rPr>
          <w:rFonts w:ascii="Arial" w:cs="Arial" w:eastAsia="Arial" w:hAnsi="Arial"/>
          <w:sz w:val="18"/>
          <w:szCs w:val="18"/>
          <w:color w:val="auto"/>
        </w:rPr>
        <w:t>has been a member of the Company’s board of directors since August 2023. Mr. Zavrl previously served as a member of EIP’s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from April 2018 to August 2023. From September 2017 to March 2018, Mr. Zavrl served as a member of the board of directors of EIP Pharma, LLC. Prior to that, Mr. Zavrl has served on the board of directors of Puma Biotechnology, Inc. (NASDAQ: PBYI), a publicly-traded company focused on the treatment of cancer, from September 2015 to July 2020. From 2002 to 2011, Mr. Zavrl served as a Partner at Adage Capital Management, L.P., an asset management company, where Mr. Zavrl specialized in biotechnology investments. From 1999 to 2002, Mr. Zavrl served as a Portfolio Manager at Merlin BioMed Group, a healthcare investment firm. Previously, Mr. Zavrl served from 1998 to 1999 as an analyst at Scudder Kemper Investments Inc., focusing on biotechnology investments. Mr. Zavrl received a B.S. in Biochemistry from the University of California, Berkeley and an M.B.A. from the Tuck School of Business at Dartmouth College.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believes that Mr. Zavrl is qualified to serve on the combined company’s board of directors due to his significant investment experience in pharmaceutical and biotechnology companies.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Marwan Sabbagh, M.D. </w:t>
      </w:r>
      <w:r>
        <w:rPr>
          <w:rFonts w:ascii="Arial" w:cs="Arial" w:eastAsia="Arial" w:hAnsi="Arial"/>
          <w:sz w:val="16"/>
          <w:szCs w:val="16"/>
          <w:color w:val="auto"/>
        </w:rPr>
        <w:t>has been a member of the Company’s board of directors since August 2023. Dr. Sabbagh previously served as a member of EIP’s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from November 2021 to August 2023. Since October 2021, Dr. Sabbagh has served as a professor in the Department of Neurology and recently became Vice Chairman for Research at the Barrow Neurological Institute and is board certified in neurology by the American Board of Psychiatry and Neurology. He is also a fellow of the American Academy of Neurology. Previously, from May 2018 to October 2021, Dr. Sabbagh was a neurologist and director at the Cleveland Clinic Lou Ruvo Center for Brain Health. Prior to his time at the Cleveland Clinic, Dr. Sabbagh was a director and neurologist at the Banner Sun Health Research Institute from 2000 to 2015. Dr. Sabbagh served on the board of directors of Quince Therapeutics, Inc. (f/k/a/ Cortexyme, Inc.) (NASDAQ: QNCX) from March 2022 to September 2022. Dr. Sabbagh earned his medical degree from the University of Arizona College of Medicine and his undergraduate degree from the University of California Berkeley. He completed his neurology residency at Baylor College of Medicine and a geriatric neurology and dementia fellowship at the University of California San Diego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The company’s board of directors believes that Dr. Sabbagh is qualified to serve on the combined company’s board of directors due to his expertise in neurological diseases and extensive clinical development experience.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Jill Davidson </w:t>
      </w:r>
      <w:r>
        <w:rPr>
          <w:rFonts w:ascii="Arial" w:cs="Arial" w:eastAsia="Arial" w:hAnsi="Arial"/>
          <w:sz w:val="17"/>
          <w:szCs w:val="17"/>
          <w:color w:val="auto"/>
        </w:rPr>
        <w:t>has served as a member of the Company’s board of directors since July 2023. Ms. Davidson currently serves as President of Fast Scripts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 early-stage medical service provider to individuals recovering from opioid addiction, a position she has held since March 2021; Co-Manager of SkiProp LLC, an owner of rental properties, a position she has held since April 2015; and Manager of Davidson LLC, an owner of various businesses and rental properties, a position she has held since 1996. Previously, Ms. Davidson served as Vice President of Omnicare, Inc. (“Omnicare”), a comprehensive pharmaceutical and chronic care service provider, from 1997 to 1999, and as Chief Operating Officer of Clasen Long Term Care Pharmacy, a medical services provider, from 1989 until it was acquired by Omnicare in 1997. Ms. Davidson has also previously served as President of the Missouri-Illinois Gateway Hemophilia Association, from 2002 to 2003, and Vice President of the National Pharmacy Roundtable, from 1995 to 1996. Ms. Davidson received her B.A. in Pharmacy from the University of Kentucky, College of Pharmacy.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board of directors believes that Ms. Davidson is qualified to serve on the Company’s board of directors due to her extensive experience serving as an officer of pharmaceutical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John Alam, M.D., and Sylvie Grégoire, Pharm.D. are husband and wife. Other than their relationship, there are no family relationships among any of the Company’s directors or executive officers. Except as described above, 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Affiliations with 5%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Alam, M.D. is the Chief Executive Officer and President and a director of the Company and is a greater than 5%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Sylvie Grégoire, Pharm.D. is the Chair of the board of directors of the Company and is a greater than 5% stockholder.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described herein, none of the Company’s newly appointed directors or executive officers has a direct or indirect material interest in any transaction required to be disclosed pursuant to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2020, EIP issued convertible promissory notes, dated December 4, 2021 (the “2020 Notes”), to predominantly related party investors, for aggregate proceeds of $5,078,500. In December 2021, the Company issued convertible promissory notes, dated December 10, 2021 (the “2021 Notes,” and collectively with the 2020 Notes, the “EIP Convertible Notes”), to predominantly related party investors, for aggregate proceeds of $6,000,000.</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John Alam, M.D., EIP’s former President and Chief Executive Officer, purchased $500,000 of the 2020 Notes; Sylvie Grégoire, the former Executive Chair of EIP, purchased $500,000 of the 2020 Notes; Frank Zavrl, a former director of EIP, together with his spouse, Paula Zavrl, purchased an aggregate of $350,000 of the 2020 Notes and $1,000,000 of the 2021 Notes; Kelly Blackburn, EIP’s former Senior Vice President, Clinical Development, purchased an aggregate of $150,000 of the 2020 Notes; and Jeff Poulton, a former director of EIP, purchased $100,000 of the 2020 Notes.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EIP entered into an amendment with the noteholders for the 2020 Notes (the “First Amendment”). In accordance with the First Amendment, the maturity of the 2020 Notes was extended from June 2022 to December 2023, the interest rate was modified so interest accrued at 5% through the original maturity of June 2022 and at 0% thereafter, the conversion discount was increased from 20% to 30%, and a conversion price limit of $3.00 was established for certain conversion scenarios. The 2021 Notes did not accrue any interest and had a maturity date of December 2023. No payments of principal or interest were due prior to maturity.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Subsequent to the First Amendment, the terms of the EIP Convertible Notes provided for automatic conversion upon either (i) the occurrence of a qualified financing of at least $15,000,000 in gross proceeds, in which the outstanding principal and all accrued and unpaid interest shall convert into shares of the equity financing at a conversion price equal to the lesser of 70% of the price per share or $3.00 per share; (ii) the occurrence of an initial public offering, in which the outstanding principal and all accrued and unpaid interest shall convert into common shares offered in the initial public offering at a conversion price equal to the initial public offering price; or (iii) the occurrence of special purpose acquisition company (“SPAC”) transaction or a reverse merger, in which the outstanding principal and all accrued and unpaid interest shall convert into common shares determined in connection with and at the time of the SPAC transaction, or reverse merger, at the conversion price. The terms of the EIP Convertible Notes further provided the holders an option to convert in connection with a financing transaction that is not a qualified financing in which the outstanding principal and all accrued and unpaid interest shall convert into shares of the equity financing at a conversion price equal to the lesser of 70% of the price per share or $3.00 per share for the EIP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terms of the EIP Convertible Notes further provided for payment of 150% of all outstanding principal and all accrued and unpaid interest in the event of a change in control of EIP. The 2021 Notes also have the option to fully convert to common stock at a price per share equal to the conversion price in the event of a change in control.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2023, EIP and the noteholders of the EIP Convertible Notes amended the terms and conditions of the EIP Convertible Notes (the “Second Amendment”) to, among other things, establish a fixed conversion price of $1.47 with respect to the Merger or, with respect to any reverse merger transaction other than the Merger, 70% of the price per share of EIP common stock as determined in good faith by the EIP board of directors at the time of the execution and delivery by EIP of a definitive agreement providing for a reverse merger.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2021 Notes were amended to provide that, to the extent the conversion of such notes in the Merger were to result in the holder beneficially owning more than 9.99% of the outstanding voting stock of the combined company, such holder would be granted pre-funded warrants in lieu of common stock for the conversion of any principal and accrued but unpaid interest in excess of 9.99%. The grant of pre-funded warrants pursuant to any such conversion would not, in and of itself, impact the allocation of shares of Diffusion common stock immediately following the Merger as between the former EIP stockholders and the Diffusion stockholders.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2023, AI EIPP Holdings LLC, one of the major stockholders of EIP, sold and transferred 3,424,871 and 571,439 shares of EIP’s Series B preferred stock to Joshua Boger, another major stockholder of EIP, and Frank Zavrl, respectively, for an aggregate purchase price of approximately $2.7 million. On the same date, EIP sold and issued (x) 473,303 and 78,717 shares of EIP common stock to Joshua Boger and Frank Zavrl, respectively, for an aggregate purchase price of approximately $0.8 million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11, 2023, EIP and AI EIPP Holdings LLC entered into an amendment to the warrant to purchase EIP Common Stock, originally purchased by AI EIPP Holdings LLC in 2018. Such amendment prohibits any exercise of the warrant that would result in AI EIPP Holdings LLC owning more than 9.99% of the outstanding voting stock of the combined company. A copy of the warrant, which was assumed by the Company in connection with the closing of the Merger, is attached to this Current Report on Form 8-K as Exhibit 4.2 hereto and is incorporated herein by reference.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Closing, and pursuant to the terms of the 2021 Notes, at the Effective Time the Company issued pre-funded warrants exercisable for 495,995 shares of Company common stock to Joshua Boger in lieu of common stock. The pre-funded warrants are exercisable at any time after the issuance date until exercised in full. The pre-funded warrants are exercisable at an exercise price of $0.001 per share. A copy of the form of pre-funded warrant is attached to this Current Report on Form 8-K as Exhibit 4.3 hereto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EIP previously entered into an executive employment agreement with John Alam, M.D., dated as of April 2, 2018 and an offer letter with Kelly Blackburn, M.H.A., dated as of April 29, 2019, as amended by amendment, dated as of January 29, 2019 (collectively, referred to as the “EIP Executive Agreements” and each of Dr. Alam and Ms. Blackburn are referred to as a “EIP executive officer”). Such EIP Executive Agreements remained effective following the Effective Time and are described below. The employment of each EIP executive officer is at 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Alam, M.D.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EIP entered into an employment agreement with John Alam, M.D. pursuant to which Dr. Alam serves as EIP’s President and Chief Executive Officer. Dr. Alam’s employment agreement establishes his title, his base salary, his eligibility for an annual bonus of up to 40% of his base salary, and his eligibility for benefits made available to employees generally. Dr. Alam’s employment is at will.</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Dr. Alam is currently entitled to a base salary of $420,000, subject to an increase at the discretion of the Company's board of directors. Dr. Alam has the opportunity to earn a target annual bonus of 40 percent of his base salary. Pursuant to the employment agreement, the term of Dr. Alam’s employment commenced on April 2, 2018 and continues until immediately prior to the consummation of a qualified financing, unless earlier terminated (a) immediately upon the executive’s death, (b) by EIP upon executive’s disability or for cause, as such terms are defined in the employment agreement, in each case upon notice thereof, or by EIP for reasons other than for disability for cause, upon at least 30 days prior notice, or (c) by the executive, upon at least 30 days prior notice. The employment agreement specifies that a qualified financing occurs when EIP sells shares of its preferred stock with (i) an aggregate purchase price of not less than $20.0 million, (ii) a price per share equal to at least one and one-half times the Series B original issue price, as defined in our certificate of incorporation, and (iii) the principal purpose of raising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Kelly Blackburn, M.H.A.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2018, EIP entered into an offer letter of employment with Kelly Blackburn, M.H.A., pursuant to which Ms. Blackburn serves as EIP’s Vice President Clinical Development. Ms. Blackburn’s employment offer letter establishes her title, her base salary of $180,000, and her eligibility for benefits made available to employees generally. Ms. Blackburn’s employment is at will. The terms of her employment agreement specify that Ms. Blackburn will devote approximately 60% of her business time and energies to the business affairs of EIP. In connection with her employment, in May 2018, Ms. Blackburn was granted a non-qualified stock option to purchase 72,000 shares of EIP Common Stock at a price per share of $2.28, which was the fair market value on the date of the grant and will be adjusted in accordance with the terms of the Merger Agreement described above. The option vested as to 25% of the shares on May 1, 2019 with the remainder vesting over the subsequent three years in equal monthly installments. In January 2019, EIP and Ms. Blackburn entered into an amendment to her employment offer letter, pursuant to which (a) the percentage of Ms. Blackburn’s business time and energies to be devoted to EIP was increased to 80% and (b) Ms. Blackburn’s annual base salary was increased to $240,000. Ms. Blackburn continues to be eligible to receive an annual bonus of up to 30% of her base salary. In connection with entry into the amendment to her offer letter, Ms. Blackburn was granted in March 2019 a non-qualified stock option to purchase 48,000 shares of EIP Common Stock at a price per share of $3.19, which was the fair market value on the date of the grant and will be adjusted in accordance with the terms of the Merger Agreement described above. The option vested as to 25% of the shares on January 29, 2020, with the remainder vesting over the subsequent three years in equal monthly installments.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EIP Executive Agreements are not complete and are subject to and qualified in its entirety by reference to such agreements, copies of which are attached to this Current Report on Form 8-K as Exhibits 10.1, 10.2 and 10.3 hereto and are incorporated herein 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Diffusion previously entered into an employment agreement with each of Robert J. Cobuzzi, Jr., Ph.D., dated as of September 8, 2020, as amended by the amendment dated March 29, 2023, and William Elder, dated as of September 23, 2020, as amended by the amendment dated March 29, 2023 (collectively, referred to as the “Diffusion Executive Agreements” and each of Dr. Cobuzzi and Mr. Elder are referred to as a “Diffusion executive officer”), which are further described below. The employment of each executive officer is at 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J. Cobuzzi, Jr., Ph.D.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September 8, 2020, Diffusion entered into an employment agreement with Dr. Cobuzzi pursuant to which he serves as its President &amp; Chief Executive Officer. The employment agreement has an indefinite term. Dr. Cobuzzi is currently entitled to an initial annual base salary of $410,000, subject to an increase at the discretion of Diffusion’s board of directors. Dr. Cobuzzi has the opportunity to earn a target annual bonus of 50 percent of his base salary. For 2022, Dr. Cobuzzi’s entire base salary was paid in cash. The employment agreement contains certain severance and change of control provisions as described in more detail under the heading “—</w:t>
      </w:r>
      <w:r>
        <w:rPr>
          <w:rFonts w:ascii="Arial" w:cs="Arial" w:eastAsia="Arial" w:hAnsi="Arial"/>
          <w:sz w:val="17"/>
          <w:szCs w:val="17"/>
          <w:i w:val="1"/>
          <w:iCs w:val="1"/>
          <w:color w:val="auto"/>
        </w:rPr>
        <w:t>Post-Termination Severance and Change in Control Arrangements</w:t>
      </w:r>
      <w:r>
        <w:rPr>
          <w:rFonts w:ascii="Arial" w:cs="Arial" w:eastAsia="Arial" w:hAnsi="Arial"/>
          <w:sz w:val="17"/>
          <w:szCs w:val="17"/>
          <w:color w:val="auto"/>
        </w:rPr>
        <w:t>” in the Registration Statement. The employment agreement also contains certain non-competition and non-solicitation provisions (each applicable during employment and for 24 months thereafter), as well as confidentiality and non-disparagement provisions (each applicable during employment and at all times thereafter). On March 29, 2023, Diffusion entered into an amendment to its employment agreement with Dr. Cobuzzi, pursuant to which certain provisions in the original employment agreement which permitted Diffusion to pay a portion of his base salary and/or annual cash bonus in the form of equity or equity-based compensation, as determined in the good faith discretion of Diffusion’s board of directors, were eliminated.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Elder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September 23, 2020, Diffusion entered into an employment agreement with Mr. Elder pursuant to which he serves as its General Counsel &amp; Corporate Secretary. The employment agreement has an indefinite term. Mr. Elder is entitled to an initial annual base salary of $250,000, subject to an increase at the discretion of the Board. Mr. Elder has the opportunity to earn a target annual bonus of 30 percent of his base salary. For 2022, Mr. Elder’s entire pro-rated base salary was paid in cash. The employment agreement contains certain severance and change of control provisions as described in more detail below under the heading “—</w:t>
      </w:r>
      <w:r>
        <w:rPr>
          <w:rFonts w:ascii="Arial" w:cs="Arial" w:eastAsia="Arial" w:hAnsi="Arial"/>
          <w:sz w:val="17"/>
          <w:szCs w:val="17"/>
          <w:i w:val="1"/>
          <w:iCs w:val="1"/>
          <w:color w:val="auto"/>
        </w:rPr>
        <w:t>Post-Termination Severance and Change in Control Arrangements</w:t>
      </w:r>
      <w:r>
        <w:rPr>
          <w:rFonts w:ascii="Arial" w:cs="Arial" w:eastAsia="Arial" w:hAnsi="Arial"/>
          <w:sz w:val="17"/>
          <w:szCs w:val="17"/>
          <w:color w:val="auto"/>
        </w:rPr>
        <w:t>” in the Registration Statement. The employment agreement also contains certain non-competition and non-solicitation provisions (each applicable during employment and for 24 months thereafter), as well as confidentiality and non-disparagement provisions (each applicable during employment and at all times thereafter). On March 29, 2023, Diffusion entered into an amendment to its employment agreement with Mr. Elder, pursuant to which certain provisions in the original employment agreement which permitted Diffusion to pay a portion of his base salary and/or annual cash bonus in the form of equity or equity-based compensation, as determined in the good faith discretion of Diffusion’s board of directors, were eliminated.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Diffusion Executive Agreements are not complete and are subject to and qualified in its entirety by reference to such agreements, copies of which are attached to this Current Report on Form 8-K as Exhibits 10.4, 10.5, 10.6 and 10.7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EIP 2018 Employee, Director and Consultant Equity Incentive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terms of the Merger Agreement, at the Effective Time, the Company assumed the EIP Plan and all of the stock options issued and outstanding under the EIP Plan. From and after the Effective Time, each outstanding EIP stock option assumed by the Company may be exercised solely for a number of shares of the Company’s common stock as determined by multiplying (i) the number of shares of EIP capital stock that were subject to such EIP stock option, as in effect immediately prior to the Effective Time, by (ii) 0.1151, the exchange ratio, and rounding the resulting number down to the nearest whole number of shares of the Company’s common stock, at a per share exercise price determined by dividing (A) the per share exercise price of EIP capital stock subject to such EIP stock option, as in effect immediately prior to the Effective Time, by (B) 0.1151, the exchange ratio, and rounding the resulting exercise price up to the nearest whole cent. Any restriction on the exercise of any EIP stock option assumed by the Company will continue in full force and effect and the term, exercisability, vesting schedule, accelerated vesting provisions, and any other provisions of such EIP stock option will otherwise remain unchanged; provided, however, that the Company’s board of directors or a committee thereof will succeed to the authority and responsibility of EIP’s board of directors or any committee thereof with respect to each EIP stock option assumed by the Company.</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terms of the Merger Agreement, the Company is obligated to file a registration statement on Form S-8 to register the shares of the Company’s common stock issuable upon exercise of such EIP stock options promptly, but no later than 30 days following the Effective Time.</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 of the EIP Plan does not purport to be complete and is qualified in its entirety by reference to the text of the EIP Plan and form of stock option agreement, copies of which are attached to this Current Report on Form 8-K as Exhibit 10.8 hereto and are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indemnification agreements with certain of its directors and executive officers. The indemnification agreements will require the Company to indemnify these individuals to the fullest extent not prohibited by Delaware law. The foregoing description of the indemnification agreements does not purport to be complete and is qualified in its entirety by reference to the text of the form of indemnification agreement, a copy of which is attached to this Current Report on Form 8-K as Exhibit 10.9.</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required by Item 5.03 of Form 8-K, the information contained in Item 2.01 of this Current Report on Form 8-K and the information contained in Item 3.03 of this Current Report on Form 8-K with respect to the Reverse Stock Split and the Reverse Stock Split Amendment of this Current Report on Form 8-K is incorporated by reference herein.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on August 16, 2023, Diffusion filed the Name Change Amendment changing its name from “Diffusion Pharmaceuticals Inc.” to “CervoMed Inc.” The foregoing description of the Name Change Amendment is not complete and is subject to and qualified in its entirety by reference to such Name Change Amendment, a copy of which is attached to this Current Report on Form 8-K as Exhibit 3.4 hereto and is incorporated herein by reference.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Effective Time, on August 16, 2023, the Company amended its bylaws to change the name of the Company such that all references to “Diffusion Pharmaceuticals Inc.” set forth therein were replaced with “CervoMed Inc.” (the “Bylaws Amendment”). The foregoing description of the Bylaws Amendment is not complete and is subject to and qualified in its entirety by reference to such Bylaws Amendment, a copy of which is attached to this Current Report on Form 8-K as Exhibit 3.5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15, 2023, Diffusion held the Special Meeting of stockholders to consider three proposals concerning matters related to Diffusion’s previously announced Merger with EIP, pursuant to the Merger Agreement. Each of Diffusion’s proposals was approved by the requisite vote of Diffusion’s stockholders as described below.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close of business on July 10, 2023, the record date for the Special Meeting, there were 2,040,287 shares of Diffusion common stock issued and outstanding. The holders of a total of 1,172,199 shares of Diffusion common stock were represented at the Special Meeting by proxy or by attendance at the virtual meeting, representing approximately 57.5% of issued and outstanding Diffusion common stock as of the record date, which total constituted a quorum for the Special Meeting in accordance with Diffusion’s bylaws.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final voting results for each of the proposals voted upon at the Special Meeting are set forth below. Brokers had discretionary authority to vote for Proposals No. 2 and 3 for the shares of the Diffusion common stock held in street name, and as a result, no broker non-votes were received for Proposals No. 2 or 3. For more information on the proposals voted upon at the meeting, please refer to the Registration Statement, which was originally filed with the Securities and Exchange Commission on July 12, 2023 and declared effective by the Securities and Exchange Commission on July 13, 2023.</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Proposal 1. To approve the issuance of shares of Diffusion capital stock pursuant to the Merger, which will represent more than 20% of the shares of Diffusion common stock outstanding immediately prior to the Merger and result in a change of control of Diffusion, pursuant to Nasdaq Listing Rules 5635(a) and 5635(b):</w:t>
      </w:r>
    </w:p>
    <w:p>
      <w:pPr>
        <w:spacing w:after="0" w:line="180" w:lineRule="exact"/>
        <w:rPr>
          <w:sz w:val="20"/>
          <w:szCs w:val="20"/>
          <w:color w:val="auto"/>
        </w:rPr>
      </w:pPr>
    </w:p>
    <w:p>
      <w:pPr>
        <w:spacing w:after="0"/>
        <w:tabs>
          <w:tab w:leader="none" w:pos="2240" w:val="left"/>
          <w:tab w:leader="none" w:pos="5060" w:val="left"/>
          <w:tab w:leader="none" w:pos="7860" w:val="left"/>
        </w:tabs>
        <w:rPr>
          <w:sz w:val="20"/>
          <w:szCs w:val="20"/>
          <w:color w:val="auto"/>
        </w:rPr>
      </w:pPr>
      <w:r>
        <w:rPr>
          <w:rFonts w:ascii="Arial" w:cs="Arial" w:eastAsia="Arial" w:hAnsi="Arial"/>
          <w:sz w:val="18"/>
          <w:szCs w:val="18"/>
          <w:color w:val="auto"/>
        </w:rPr>
        <w:t>521,953 For</w:t>
      </w:r>
      <w:r>
        <w:rPr>
          <w:sz w:val="20"/>
          <w:szCs w:val="20"/>
          <w:color w:val="auto"/>
        </w:rPr>
        <w:tab/>
      </w:r>
      <w:r>
        <w:rPr>
          <w:rFonts w:ascii="Arial" w:cs="Arial" w:eastAsia="Arial" w:hAnsi="Arial"/>
          <w:sz w:val="18"/>
          <w:szCs w:val="18"/>
          <w:color w:val="auto"/>
        </w:rPr>
        <w:t>203,636 Against</w:t>
      </w:r>
      <w:r>
        <w:rPr>
          <w:sz w:val="20"/>
          <w:szCs w:val="20"/>
          <w:color w:val="auto"/>
        </w:rPr>
        <w:tab/>
      </w:r>
      <w:r>
        <w:rPr>
          <w:rFonts w:ascii="Arial" w:cs="Arial" w:eastAsia="Arial" w:hAnsi="Arial"/>
          <w:sz w:val="18"/>
          <w:szCs w:val="18"/>
          <w:color w:val="auto"/>
        </w:rPr>
        <w:t>6,303 Abstain</w:t>
      </w:r>
      <w:r>
        <w:rPr>
          <w:sz w:val="20"/>
          <w:szCs w:val="20"/>
          <w:color w:val="auto"/>
        </w:rPr>
        <w:tab/>
      </w:r>
      <w:r>
        <w:rPr>
          <w:rFonts w:ascii="Arial" w:cs="Arial" w:eastAsia="Arial" w:hAnsi="Arial"/>
          <w:sz w:val="16"/>
          <w:szCs w:val="16"/>
          <w:color w:val="auto"/>
        </w:rPr>
        <w:t>440,307 Broker Non-Votes</w:t>
      </w:r>
    </w:p>
    <w:p>
      <w:pPr>
        <w:spacing w:after="0" w:line="2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Proposal 2. To approve an amendment to the certificate of incorporation, as amended, of Diffusion to effect a reverse stock split of Diffusion common stock at a ratio within the range between 1.5-for-1 to 8-for-1:</w:t>
      </w:r>
    </w:p>
    <w:p>
      <w:pPr>
        <w:spacing w:after="0" w:line="166" w:lineRule="exact"/>
        <w:rPr>
          <w:sz w:val="20"/>
          <w:szCs w:val="20"/>
          <w:color w:val="auto"/>
        </w:rPr>
      </w:pPr>
    </w:p>
    <w:p>
      <w:pPr>
        <w:spacing w:after="0"/>
        <w:tabs>
          <w:tab w:leader="none" w:pos="2240" w:val="left"/>
          <w:tab w:leader="none" w:pos="5060" w:val="left"/>
          <w:tab w:leader="none" w:pos="7860" w:val="left"/>
        </w:tabs>
        <w:rPr>
          <w:sz w:val="20"/>
          <w:szCs w:val="20"/>
          <w:color w:val="auto"/>
        </w:rPr>
      </w:pPr>
      <w:r>
        <w:rPr>
          <w:rFonts w:ascii="Arial" w:cs="Arial" w:eastAsia="Arial" w:hAnsi="Arial"/>
          <w:sz w:val="18"/>
          <w:szCs w:val="18"/>
          <w:color w:val="auto"/>
        </w:rPr>
        <w:t>859,259 For</w:t>
      </w:r>
      <w:r>
        <w:rPr>
          <w:sz w:val="20"/>
          <w:szCs w:val="20"/>
          <w:color w:val="auto"/>
        </w:rPr>
        <w:tab/>
      </w:r>
      <w:r>
        <w:rPr>
          <w:rFonts w:ascii="Arial" w:cs="Arial" w:eastAsia="Arial" w:hAnsi="Arial"/>
          <w:sz w:val="18"/>
          <w:szCs w:val="18"/>
          <w:color w:val="auto"/>
        </w:rPr>
        <w:t>305,881 Against</w:t>
      </w:r>
      <w:r>
        <w:rPr>
          <w:sz w:val="20"/>
          <w:szCs w:val="20"/>
          <w:color w:val="auto"/>
        </w:rPr>
        <w:tab/>
      </w:r>
      <w:r>
        <w:rPr>
          <w:rFonts w:ascii="Arial" w:cs="Arial" w:eastAsia="Arial" w:hAnsi="Arial"/>
          <w:sz w:val="18"/>
          <w:szCs w:val="18"/>
          <w:color w:val="auto"/>
        </w:rPr>
        <w:t>7,059 Abstain</w:t>
      </w:r>
      <w:r>
        <w:rPr>
          <w:sz w:val="20"/>
          <w:szCs w:val="20"/>
          <w:color w:val="auto"/>
        </w:rPr>
        <w:tab/>
      </w:r>
      <w:r>
        <w:rPr>
          <w:rFonts w:ascii="Arial" w:cs="Arial" w:eastAsia="Arial" w:hAnsi="Arial"/>
          <w:sz w:val="16"/>
          <w:szCs w:val="16"/>
          <w:color w:val="auto"/>
        </w:rPr>
        <w:t>0 Broker Non-Votes</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Proposal 3. To approve a postponement or adjournment of the special meeting, if necessary, to solicit additional proxies if there are not sufficient votes in favor of the proposals set forth above:</w:t>
      </w:r>
    </w:p>
    <w:p>
      <w:pPr>
        <w:spacing w:after="0" w:line="166" w:lineRule="exact"/>
        <w:rPr>
          <w:sz w:val="20"/>
          <w:szCs w:val="20"/>
          <w:color w:val="auto"/>
        </w:rPr>
      </w:pPr>
    </w:p>
    <w:p>
      <w:pPr>
        <w:spacing w:after="0"/>
        <w:tabs>
          <w:tab w:leader="none" w:pos="2240" w:val="left"/>
          <w:tab w:leader="none" w:pos="5060" w:val="left"/>
          <w:tab w:leader="none" w:pos="7860" w:val="left"/>
        </w:tabs>
        <w:rPr>
          <w:sz w:val="20"/>
          <w:szCs w:val="20"/>
          <w:color w:val="auto"/>
        </w:rPr>
      </w:pPr>
      <w:r>
        <w:rPr>
          <w:rFonts w:ascii="Arial" w:cs="Arial" w:eastAsia="Arial" w:hAnsi="Arial"/>
          <w:sz w:val="18"/>
          <w:szCs w:val="18"/>
          <w:color w:val="auto"/>
        </w:rPr>
        <w:t>779,597 For</w:t>
      </w:r>
      <w:r>
        <w:rPr>
          <w:sz w:val="20"/>
          <w:szCs w:val="20"/>
          <w:color w:val="auto"/>
        </w:rPr>
        <w:tab/>
      </w:r>
      <w:r>
        <w:rPr>
          <w:rFonts w:ascii="Arial" w:cs="Arial" w:eastAsia="Arial" w:hAnsi="Arial"/>
          <w:sz w:val="18"/>
          <w:szCs w:val="18"/>
          <w:color w:val="auto"/>
        </w:rPr>
        <w:t>323,300 Against</w:t>
      </w:r>
      <w:r>
        <w:rPr>
          <w:sz w:val="20"/>
          <w:szCs w:val="20"/>
          <w:color w:val="auto"/>
        </w:rPr>
        <w:tab/>
      </w:r>
      <w:r>
        <w:rPr>
          <w:rFonts w:ascii="Arial" w:cs="Arial" w:eastAsia="Arial" w:hAnsi="Arial"/>
          <w:sz w:val="18"/>
          <w:szCs w:val="18"/>
          <w:color w:val="auto"/>
        </w:rPr>
        <w:t>8,892 Abstain</w:t>
      </w:r>
      <w:r>
        <w:rPr>
          <w:sz w:val="20"/>
          <w:szCs w:val="20"/>
          <w:color w:val="auto"/>
        </w:rPr>
        <w:tab/>
      </w:r>
      <w:r>
        <w:rPr>
          <w:rFonts w:ascii="Arial" w:cs="Arial" w:eastAsia="Arial" w:hAnsi="Arial"/>
          <w:sz w:val="16"/>
          <w:szCs w:val="16"/>
          <w:color w:val="auto"/>
        </w:rPr>
        <w:t>0 Broker Non-Votes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2023, Diffusion issued a press release announcing preliminary results from the Special Meeting and the anticipated completion of the reverse stock split. The press release contains statements intended as “forward-looking statements” which are subject to the cautionary statements about forward-looking statements set forth therein. A copy of Diffusion’s press release is furnished as Exhibit 99.1 to this Current Report on Form 8-K and is incorporated herein by reference.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7.01 and the accompanying exhibit is being furnished and shall not be deemed filed for purposes of Section 18 of the Securities Exchange Act of 1934, as amended, or otherwise subject to the liabilities of Section 18. Furthermore, the information contained in this Item 7.01 and the accompanying exhibit shall not be deemed to be incorporated by reference in any filing under the Securities Act of 1933, as amended, unless specifically identified therein as being incorporated therein by reference.</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2023, the Company issued a press release announcing the closing of the Merger. The press release contains statements intended as “forward-looking statements” which are subject to the cautionary statements about forward-looking statements set forth therein. The press release is attached to this Current Report on Form 8-K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Current Report on Form 8-K includes express and implied forward-looking statements within the meaning of the Private Securities Litigation Reform Act of 1995, as amended, regarding management’s intentions, plans, beliefs, expectations or forecasts for the future. Terms such as “believes,” “estimates,” “anticipates,” “expects,” “plans,” “intends,” “may,” “could,” “might,” “will,” “should,” “approximately,” or other words that convey uncertainty of future events or outcomes may identify these forward-looking statements. Although there is believed to be reasonable basis for each forward-looking statement contained herein, forward-looking statements by their nature involve risks and uncertainties, known and unknown, many of which are beyond the parties’ control and, as a result, actual results could differ materially from those expressed or implied in any forward-looking statement. Particular risks and uncertainties include, among other things, changes in the competitive and highly regulated industries in which the Company operates; variations in operating performance across competitors; changes in laws and regulations affecting the Company’s business; the ability to implement business plans, forecasts, and other expectations after the completion of the transaction; general economic, political, business, industry, and market conditions, inflationary pressures, and geopolitical conflicts; and the other factors discussed under the heading “Risk Factors” in the Company’s most recent Annual Report on Form 10-K, the Registration Statement, and the Company’s other filings with the SEC. Any forward-looking statements in this Current Report on Form 8-K speak only as of the date hereof (or such earlier date as may be identified). New factors emerge from time to time, and it is not possible for us to predict all such factors, nor can we assess the impact of each such factor on the businesses or the extent to which any factor, or combination of factors, may cause actual results to differ materially from those contained in any forward-looking statements. These risks, as well as other risks associated with the Merger, will be more fully discussed in future SEC filings and, except as required by applicable law, rule, or regulation, the Company does not undertake any obligation to update any such statements after the date of this Current Report on Form 8-K.</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 of Business Acquired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EIP Pharma for (i) the year ended December 31, 2022 were previously filed with the SEC as part of the Proxy Statement/Prospectus/Information Statement on June 23, 2023, and (ii) for the three and six months ended June 30, 2023 were filed as an exhibit to the Company’s Current Report on Form 8-K filed with the SEC on August 9, 2023, and pursuant to General Instruction B.3 of Form 8-K, are not required to be filed herewith.</w:t>
      </w:r>
    </w:p>
    <w:p>
      <w:pPr>
        <w:spacing w:after="0" w:line="18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condensed consolidated financial statements of the Company and EIP Pharma for the year ended December 31, 2023 and the three and six months ended June 30, 2023 were previously filed as an exhibit to the Company’s Current Report on Form 8-K filed with the SEC on August 9, 2023, and pursuant to General Instruction B.3 of Form 8-K, are not required to be filed herewith.</w:t>
      </w:r>
    </w:p>
    <w:p>
      <w:pPr>
        <w:spacing w:after="0" w:line="18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420" w:type="dxa"/>
            <w:vAlign w:val="bottom"/>
          </w:tcPr>
          <w:p>
            <w:pPr>
              <w:spacing w:after="0"/>
              <w:rPr>
                <w:sz w:val="20"/>
                <w:szCs w:val="20"/>
                <w:color w:val="auto"/>
              </w:rPr>
            </w:pPr>
            <w:r>
              <w:rPr>
                <w:rFonts w:ascii="Arial" w:cs="Arial" w:eastAsia="Arial" w:hAnsi="Arial"/>
                <w:sz w:val="18"/>
                <w:szCs w:val="18"/>
                <w:color w:val="auto"/>
              </w:rPr>
              <w:t>2.1¥</w:t>
            </w:r>
          </w:p>
        </w:tc>
        <w:tc>
          <w:tcPr>
            <w:tcW w:w="9820" w:type="dxa"/>
            <w:vAlign w:val="bottom"/>
            <w:gridSpan w:val="20"/>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Agreement and Plan of Merger, dated as of March 30, 2023, by and among Diffusion Pharmaceuticals Inc., Dawn Merger Sub, Inc. and</w:t>
              </w:r>
            </w:hyperlink>
          </w:p>
        </w:tc>
      </w:tr>
      <w:tr>
        <w:trPr>
          <w:trHeight w:val="196"/>
        </w:trPr>
        <w:tc>
          <w:tcPr>
            <w:tcW w:w="142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24">
              <w:r>
                <w:rPr>
                  <w:rFonts w:ascii="Arial" w:cs="Arial" w:eastAsia="Arial" w:hAnsi="Arial"/>
                  <w:sz w:val="18"/>
                  <w:szCs w:val="18"/>
                  <w:color w:val="0000EE"/>
                  <w:w w:val="94"/>
                </w:rPr>
                <w:t>EIP Pharma, Inc. (incorporated by reference from Exhibit 2.1 to the Registrant’s Current Report on Form 8-K (File No. 001-37942)</w:t>
              </w:r>
            </w:hyperlink>
          </w:p>
        </w:tc>
        <w:tc>
          <w:tcPr>
            <w:tcW w:w="80" w:type="dxa"/>
            <w:vAlign w:val="bottom"/>
            <w:gridSpan w:val="3"/>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filed with the SEC on March 30, 2023).</w:t>
              </w:r>
            </w:hyperlink>
          </w:p>
        </w:tc>
        <w:tc>
          <w:tcPr>
            <w:tcW w:w="6600" w:type="dxa"/>
            <w:vAlign w:val="bottom"/>
            <w:tcBorders>
              <w:top w:val="single" w:sz="8" w:color="0000EE"/>
            </w:tcBorders>
            <w:gridSpan w:val="5"/>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90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Certificate of Incorporation of Diffusion Pharmaceuticals Inc., as amended (incorporated by reference from Exhibit 3.1 to the</w:t>
              </w:r>
            </w:hyperlink>
          </w:p>
        </w:tc>
        <w:tc>
          <w:tcPr>
            <w:tcW w:w="800" w:type="dxa"/>
            <w:vAlign w:val="bottom"/>
            <w:gridSpan w:val="7"/>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75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Registrant’s Annual Report on Form 10-K (File No. 001-37942) filed with the SEC on March 24, 2023).</w:t>
              </w:r>
            </w:hyperlink>
          </w:p>
        </w:tc>
        <w:tc>
          <w:tcPr>
            <w:tcW w:w="2300" w:type="dxa"/>
            <w:vAlign w:val="bottom"/>
            <w:gridSpan w:val="9"/>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5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Certificate of Merger.</w:t>
            </w:r>
          </w:p>
        </w:tc>
        <w:tc>
          <w:tcPr>
            <w:tcW w:w="8260" w:type="dxa"/>
            <w:vAlign w:val="bottom"/>
            <w:gridSpan w:val="17"/>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982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Certificate of Amendment, dated August 16, 2023 to the Certificate of Incorporation, as amended, of Diffusion Pharmaceuticals Inc. to</w:t>
            </w:r>
          </w:p>
        </w:tc>
      </w:tr>
      <w:tr>
        <w:trPr>
          <w:trHeight w:val="196"/>
        </w:trPr>
        <w:tc>
          <w:tcPr>
            <w:tcW w:w="14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implement the Reverse Stock Split.</w:t>
            </w:r>
          </w:p>
        </w:tc>
        <w:tc>
          <w:tcPr>
            <w:tcW w:w="7160" w:type="dxa"/>
            <w:vAlign w:val="bottom"/>
            <w:tcBorders>
              <w:top w:val="single" w:sz="8" w:color="0000EE"/>
            </w:tcBorders>
            <w:gridSpan w:val="9"/>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982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Certificate of Amendment, dated August 16, 2023 to the Certificate of Incorporation, as amended, of Diffusion Pharmaceuticals Inc. to</w:t>
            </w:r>
          </w:p>
        </w:tc>
      </w:tr>
      <w:tr>
        <w:trPr>
          <w:trHeight w:val="196"/>
        </w:trPr>
        <w:tc>
          <w:tcPr>
            <w:tcW w:w="1420" w:type="dxa"/>
            <w:vAlign w:val="bottom"/>
          </w:tcPr>
          <w:p>
            <w:pPr>
              <w:spacing w:after="0"/>
              <w:rPr>
                <w:sz w:val="17"/>
                <w:szCs w:val="17"/>
                <w:color w:val="auto"/>
              </w:rPr>
            </w:pPr>
          </w:p>
        </w:tc>
        <w:tc>
          <w:tcPr>
            <w:tcW w:w="97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implement the name change.</w:t>
            </w:r>
          </w:p>
        </w:tc>
        <w:tc>
          <w:tcPr>
            <w:tcW w:w="120" w:type="dxa"/>
            <w:vAlign w:val="bottom"/>
            <w:gridSpan w:val="4"/>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820" w:type="dxa"/>
            <w:vAlign w:val="bottom"/>
            <w:gridSpan w:val="20"/>
          </w:tcPr>
          <w:p>
            <w:pPr>
              <w:spacing w:after="0" w:line="196" w:lineRule="exact"/>
              <w:rPr>
                <w:sz w:val="20"/>
                <w:szCs w:val="20"/>
                <w:color w:val="auto"/>
              </w:rPr>
            </w:pPr>
            <w:r>
              <w:rPr>
                <w:rFonts w:ascii="Arial" w:cs="Arial" w:eastAsia="Arial" w:hAnsi="Arial"/>
                <w:sz w:val="18"/>
                <w:szCs w:val="18"/>
                <w:color w:val="0000EE"/>
              </w:rPr>
              <w:t>Bylaws, as amended, of CervoMed Inc.</w:t>
            </w: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8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Form of Warrant.</w:t>
            </w:r>
          </w:p>
        </w:tc>
        <w:tc>
          <w:tcPr>
            <w:tcW w:w="6980" w:type="dxa"/>
            <w:vAlign w:val="bottom"/>
            <w:gridSpan w:val="12"/>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820" w:type="dxa"/>
            <w:vAlign w:val="bottom"/>
            <w:gridSpan w:val="20"/>
          </w:tcPr>
          <w:p>
            <w:pPr>
              <w:spacing w:after="0" w:line="196" w:lineRule="exact"/>
              <w:rPr>
                <w:sz w:val="20"/>
                <w:szCs w:val="20"/>
                <w:color w:val="auto"/>
              </w:rPr>
            </w:pPr>
            <w:r>
              <w:rPr>
                <w:rFonts w:ascii="Arial" w:cs="Arial" w:eastAsia="Arial" w:hAnsi="Arial"/>
                <w:sz w:val="18"/>
                <w:szCs w:val="18"/>
                <w:color w:val="0000EE"/>
              </w:rPr>
              <w:t>Form of AI EIPP Holdings LLC Warrant.</w:t>
            </w: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29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Form of Pre-Funded Warrant.</w:t>
            </w:r>
          </w:p>
        </w:tc>
        <w:tc>
          <w:tcPr>
            <w:tcW w:w="6840" w:type="dxa"/>
            <w:vAlign w:val="bottom"/>
            <w:gridSpan w:val="10"/>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820" w:type="dxa"/>
            <w:vAlign w:val="bottom"/>
            <w:gridSpan w:val="20"/>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Executive Employment Agreement, effective as of April 2, 2018, by and between EIP Pharma, Inc., and John Alam, M.D. (incorporated</w:t>
              </w:r>
            </w:hyperlink>
          </w:p>
        </w:tc>
      </w:tr>
      <w:tr>
        <w:trPr>
          <w:trHeight w:val="196"/>
        </w:trPr>
        <w:tc>
          <w:tcPr>
            <w:tcW w:w="14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by reference from Exhibit 10.28 to the Registrant’s Registration Statement on Form S-4/A (File No. 333-271823) filed with the SEC on</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July 12, 2023).</w:t>
              </w:r>
            </w:hyperlink>
          </w:p>
        </w:tc>
        <w:tc>
          <w:tcPr>
            <w:tcW w:w="8740" w:type="dxa"/>
            <w:vAlign w:val="bottom"/>
            <w:gridSpan w:val="19"/>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Offer Letter, dated as of April 29, 2018, by and between EIP Pharma, Inc., and Kelly Blackburn (incorporated by reference from Exhibit</w:t>
              </w:r>
            </w:hyperlink>
          </w:p>
        </w:tc>
      </w:tr>
      <w:tr>
        <w:trPr>
          <w:trHeight w:val="196"/>
        </w:trPr>
        <w:tc>
          <w:tcPr>
            <w:tcW w:w="1420" w:type="dxa"/>
            <w:vAlign w:val="bottom"/>
          </w:tcPr>
          <w:p>
            <w:pPr>
              <w:spacing w:after="0"/>
              <w:rPr>
                <w:sz w:val="17"/>
                <w:szCs w:val="17"/>
                <w:color w:val="auto"/>
              </w:rPr>
            </w:pPr>
          </w:p>
        </w:tc>
        <w:tc>
          <w:tcPr>
            <w:tcW w:w="8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29</w:t>
              </w:r>
              <w:r>
                <w:rPr>
                  <w:rFonts w:ascii="Arial" w:cs="Arial" w:eastAsia="Arial" w:hAnsi="Arial"/>
                  <w:sz w:val="18"/>
                  <w:szCs w:val="18"/>
                  <w:color w:val="0000EE"/>
                  <w:w w:val="91"/>
                </w:rPr>
                <w:t xml:space="preserve"> to the Registrant’s Registration Statement on Form S-4/A (File No. 333-271823) filed with the SEC on July 12, 2023).</w:t>
              </w:r>
            </w:hyperlink>
          </w:p>
        </w:tc>
        <w:tc>
          <w:tcPr>
            <w:tcW w:w="840" w:type="dxa"/>
            <w:vAlign w:val="bottom"/>
            <w:gridSpan w:val="8"/>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8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Amendment, dated as of January 29, 2019, to Offer Letter, dated April 29, 2018, by and between EIP Pharma, Inc., and Kelly Blackburn</w:t>
              </w:r>
            </w:hyperlink>
          </w:p>
        </w:tc>
      </w:tr>
      <w:tr>
        <w:trPr>
          <w:trHeight w:val="196"/>
        </w:trPr>
        <w:tc>
          <w:tcPr>
            <w:tcW w:w="14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(incorporated by reference from Exhibit 10.30 to the Registrant’s Registration Statement on Form S-4/A (File No. 333-271823) filed</w:t>
              </w:r>
            </w:hyperlink>
          </w:p>
        </w:tc>
      </w:tr>
      <w:tr>
        <w:trPr>
          <w:trHeight w:val="196"/>
        </w:trPr>
        <w:tc>
          <w:tcPr>
            <w:tcW w:w="142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with the SEC on July 12, 2023).</w:t>
              </w:r>
            </w:hyperlink>
          </w:p>
        </w:tc>
        <w:tc>
          <w:tcPr>
            <w:tcW w:w="280" w:type="dxa"/>
            <w:vAlign w:val="bottom"/>
            <w:gridSpan w:val="5"/>
          </w:tcPr>
          <w:p>
            <w:pPr>
              <w:spacing w:after="0"/>
              <w:rPr>
                <w:sz w:val="17"/>
                <w:szCs w:val="17"/>
                <w:color w:val="auto"/>
              </w:rPr>
            </w:pPr>
          </w:p>
        </w:tc>
      </w:tr>
      <w:tr>
        <w:trPr>
          <w:trHeight w:val="595"/>
        </w:trPr>
        <w:tc>
          <w:tcPr>
            <w:tcW w:w="14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gridSpan w:val="2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20" w:type="dxa"/>
            <w:vAlign w:val="bottom"/>
          </w:tcPr>
          <w:p>
            <w:pPr>
              <w:spacing w:after="0" w:line="169" w:lineRule="exact"/>
              <w:rPr>
                <w:sz w:val="20"/>
                <w:szCs w:val="20"/>
                <w:color w:val="auto"/>
              </w:rPr>
            </w:pPr>
            <w:r>
              <w:rPr>
                <w:rFonts w:ascii="Arial" w:cs="Arial" w:eastAsia="Arial" w:hAnsi="Arial"/>
                <w:sz w:val="18"/>
                <w:szCs w:val="18"/>
                <w:color w:val="auto"/>
              </w:rPr>
              <w:t>10.4+</w:t>
            </w:r>
          </w:p>
        </w:tc>
        <w:tc>
          <w:tcPr>
            <w:tcW w:w="9520" w:type="dxa"/>
            <w:vAlign w:val="bottom"/>
            <w:tcBorders>
              <w:bottom w:val="single" w:sz="8" w:color="0000EE"/>
            </w:tcBorders>
            <w:gridSpan w:val="16"/>
          </w:tcPr>
          <w:p>
            <w:pPr>
              <w:spacing w:after="0" w:line="169"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Employment Agreement dated as of September 8, 2020 by and between Robert J. Cobuzzi, Jr., Ph.D. and Diffusion Pharmaceuticals</w:t>
              </w:r>
            </w:hyperlink>
          </w:p>
        </w:tc>
        <w:tc>
          <w:tcPr>
            <w:tcW w:w="300" w:type="dxa"/>
            <w:vAlign w:val="bottom"/>
            <w:gridSpan w:val="8"/>
          </w:tcPr>
          <w:p>
            <w:pPr>
              <w:spacing w:after="0"/>
              <w:rPr>
                <w:sz w:val="14"/>
                <w:szCs w:val="14"/>
                <w:color w:val="auto"/>
              </w:rPr>
            </w:pPr>
          </w:p>
        </w:tc>
      </w:tr>
      <w:tr>
        <w:trPr>
          <w:trHeight w:val="196"/>
        </w:trPr>
        <w:tc>
          <w:tcPr>
            <w:tcW w:w="142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Inc. (incorporated by reference to Exhibit 10.2 to the Registrant’s Current Report on Form 8-K (File No. 001-37942) filed with the SEC</w:t>
              </w:r>
            </w:hyperlink>
          </w:p>
        </w:tc>
        <w:tc>
          <w:tcPr>
            <w:tcW w:w="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on September 9, 2020.)</w:t>
              </w:r>
            </w:hyperlink>
          </w:p>
        </w:tc>
        <w:tc>
          <w:tcPr>
            <w:tcW w:w="8140" w:type="dxa"/>
            <w:vAlign w:val="bottom"/>
            <w:gridSpan w:val="22"/>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9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Amendment, dated March 29, 2023, to Employment Agreement, dated September 8, 2020, by and between Diffusion Pharmaceuticals</w:t>
              </w:r>
            </w:hyperlink>
          </w:p>
        </w:tc>
        <w:tc>
          <w:tcPr>
            <w:tcW w:w="140" w:type="dxa"/>
            <w:vAlign w:val="bottom"/>
            <w:gridSpan w:val="4"/>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Inc. and Robert J. Cobuzzi, Ph.D. (incorporated by reference to Exhibit 10.3 to the Registrant’s Current Report on Form 8-K (File No.</w:t>
              </w:r>
            </w:hyperlink>
          </w:p>
        </w:tc>
        <w:tc>
          <w:tcPr>
            <w:tcW w:w="160" w:type="dxa"/>
            <w:vAlign w:val="bottom"/>
            <w:gridSpan w:val="5"/>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001-37942) filed with the SEC on March 30, 2023.)</w:t>
              </w:r>
            </w:hyperlink>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9820" w:type="dxa"/>
            <w:vAlign w:val="bottom"/>
            <w:gridSpan w:val="24"/>
          </w:tcPr>
          <w:p>
            <w:pPr>
              <w:spacing w:after="0" w:line="196"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Employment Agreement, dated as of September 23, 2020, by and between William Elder and Diffusion Pharmaceuticals Inc.</w:t>
              </w:r>
            </w:hyperlink>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(incorporated by reference to Exhibit 10.1 to the Registrant’s Current Report on Form 8-K (File No. 001-37942) filed with the SEC on</w:t>
              </w:r>
            </w:hyperlink>
          </w:p>
        </w:tc>
        <w:tc>
          <w:tcPr>
            <w:tcW w:w="140" w:type="dxa"/>
            <w:vAlign w:val="bottom"/>
            <w:gridSpan w:val="4"/>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31">
              <w:r>
                <w:rPr>
                  <w:rFonts w:ascii="Arial" w:cs="Arial" w:eastAsia="Arial" w:hAnsi="Arial"/>
                  <w:sz w:val="18"/>
                  <w:szCs w:val="18"/>
                  <w:color w:val="0000EE"/>
                  <w:w w:val="87"/>
                </w:rPr>
                <w:t>September 9, 2020.)</w:t>
              </w:r>
            </w:hyperlink>
          </w:p>
        </w:tc>
        <w:tc>
          <w:tcPr>
            <w:tcW w:w="8360" w:type="dxa"/>
            <w:vAlign w:val="bottom"/>
            <w:gridSpan w:val="23"/>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9820" w:type="dxa"/>
            <w:vAlign w:val="bottom"/>
            <w:gridSpan w:val="24"/>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Amendment, dated March 29, 2023, to Employment Agreement, dated September 23, 2020, by and between Diffusion Pharmaceuticals</w:t>
              </w:r>
            </w:hyperlink>
          </w:p>
        </w:tc>
      </w:tr>
      <w:tr>
        <w:trPr>
          <w:trHeight w:val="20"/>
        </w:trPr>
        <w:tc>
          <w:tcPr>
            <w:tcW w:w="142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Inc. and William Elder (incorporated by reference to Exhibit 10.5 to the Registrant’s Current Report on Form 8-K (File No. 001-37942)</w:t>
              </w:r>
            </w:hyperlink>
          </w:p>
        </w:tc>
        <w:tc>
          <w:tcPr>
            <w:tcW w:w="60" w:type="dxa"/>
            <w:vAlign w:val="bottom"/>
            <w:gridSpan w:val="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filed with the SEC on March 30, 2023.)</w:t>
              </w:r>
            </w:hyperlink>
          </w:p>
        </w:tc>
      </w:tr>
      <w:tr>
        <w:trPr>
          <w:trHeight w:val="20"/>
        </w:trPr>
        <w:tc>
          <w:tcPr>
            <w:tcW w:w="142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9820" w:type="dxa"/>
            <w:vAlign w:val="bottom"/>
            <w:gridSpan w:val="24"/>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EIP Pharma, Inc. 2018 Employee, Director and Consultant Equity Incentive Plan (incorporated by reference from Exhibit 10.31 to the</w:t>
              </w:r>
            </w:hyperlink>
          </w:p>
        </w:tc>
      </w:tr>
      <w:tr>
        <w:trPr>
          <w:trHeight w:val="196"/>
        </w:trPr>
        <w:tc>
          <w:tcPr>
            <w:tcW w:w="142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Registrant’s Registration Statement on Form S-4/A (File No. 333-271823) filed with the SEC on July 12, 2023).</w:t>
              </w:r>
            </w:hyperlink>
          </w:p>
        </w:tc>
        <w:tc>
          <w:tcPr>
            <w:tcW w:w="1560" w:type="dxa"/>
            <w:vAlign w:val="bottom"/>
            <w:tcBorders>
              <w:top w:val="single" w:sz="8" w:color="0000EE"/>
            </w:tcBorders>
            <w:gridSpan w:val="7"/>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70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Form of Indemnification Agreement between the Company and each of its directions and officers.</w:t>
            </w:r>
          </w:p>
        </w:tc>
        <w:tc>
          <w:tcPr>
            <w:tcW w:w="2760" w:type="dxa"/>
            <w:vAlign w:val="bottom"/>
            <w:gridSpan w:val="14"/>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89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Option and License Agreement, dated as of August 27, 2012, by and between EIP Pharma LLC and Vertex Pharmaceuticals</w:t>
              </w:r>
            </w:hyperlink>
          </w:p>
        </w:tc>
        <w:tc>
          <w:tcPr>
            <w:tcW w:w="840" w:type="dxa"/>
            <w:vAlign w:val="bottom"/>
            <w:gridSpan w:val="1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w w:val="96"/>
              </w:rPr>
            </w:pPr>
            <w:hyperlink r:id="rId34">
              <w:r>
                <w:rPr>
                  <w:rFonts w:ascii="Arial" w:cs="Arial" w:eastAsia="Arial" w:hAnsi="Arial"/>
                  <w:sz w:val="18"/>
                  <w:szCs w:val="18"/>
                  <w:color w:val="0000EE"/>
                  <w:w w:val="96"/>
                </w:rPr>
                <w:t>Incorporated (incorporated by reference to Exhibit 10.23 to the Registrant’s Registration Statement on Form S-4/A (File No. 333-</w:t>
              </w:r>
            </w:hyperlink>
          </w:p>
        </w:tc>
      </w:tr>
      <w:tr>
        <w:trPr>
          <w:trHeight w:val="196"/>
        </w:trPr>
        <w:tc>
          <w:tcPr>
            <w:tcW w:w="142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271823) filed with the SEC on July 12, 2023).</w:t>
              </w:r>
            </w:hyperlink>
          </w:p>
        </w:tc>
        <w:tc>
          <w:tcPr>
            <w:tcW w:w="500" w:type="dxa"/>
            <w:vAlign w:val="bottom"/>
            <w:gridSpan w:val="11"/>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95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Amendment No.1, dated as of April 8, 2014, to Option and License Agreement, dated August 27, 2012, by and between EIP Pharma</w:t>
              </w:r>
            </w:hyperlink>
          </w:p>
        </w:tc>
        <w:tc>
          <w:tcPr>
            <w:tcW w:w="280" w:type="dxa"/>
            <w:vAlign w:val="bottom"/>
            <w:gridSpan w:val="7"/>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LLC and Vertex Pharmaceuticals Incorporated (incorporated by reference to Exhibit 10.24 to the Registrant’s Registration Statement on</w:t>
              </w:r>
            </w:hyperlink>
          </w:p>
        </w:tc>
        <w:tc>
          <w:tcPr>
            <w:tcW w:w="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Form S-4/A (File No. 333-271823) filed with the SEC on July 12, 2023).</w:t>
              </w:r>
            </w:hyperlink>
          </w:p>
        </w:tc>
        <w:tc>
          <w:tcPr>
            <w:tcW w:w="4560" w:type="dxa"/>
            <w:vAlign w:val="bottom"/>
            <w:gridSpan w:val="16"/>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9820" w:type="dxa"/>
            <w:vAlign w:val="bottom"/>
            <w:gridSpan w:val="24"/>
          </w:tcPr>
          <w:p>
            <w:pPr>
              <w:spacing w:after="0" w:line="196"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Amendment No.2, dated as of November 17, 2015, to Option and License Agreement, dated August 27, 2012, as amended April 18,</w:t>
              </w:r>
            </w:hyperlink>
          </w:p>
        </w:tc>
      </w:tr>
      <w:tr>
        <w:trPr>
          <w:trHeight w:val="196"/>
        </w:trPr>
        <w:tc>
          <w:tcPr>
            <w:tcW w:w="142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2014, by and between EIP Pharma LLC and Vertex Pharmaceuticals Incorporated (incorporated by reference to Exhibit 10.25 to the</w:t>
              </w:r>
            </w:hyperlink>
          </w:p>
        </w:tc>
        <w:tc>
          <w:tcPr>
            <w:tcW w:w="320" w:type="dxa"/>
            <w:vAlign w:val="bottom"/>
            <w:gridSpan w:val="9"/>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Registrant’s Registration Statement on Form S-4/A (File No. 333-271823) filed with the SEC on July 12, 2023).</w:t>
              </w:r>
            </w:hyperlink>
          </w:p>
        </w:tc>
        <w:tc>
          <w:tcPr>
            <w:tcW w:w="1400" w:type="dxa"/>
            <w:vAlign w:val="bottom"/>
            <w:tcBorders>
              <w:top w:val="single" w:sz="8" w:color="0000EE"/>
            </w:tcBorders>
            <w:gridSpan w:val="3"/>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16.1</w:t>
            </w:r>
          </w:p>
        </w:tc>
        <w:tc>
          <w:tcPr>
            <w:tcW w:w="9820" w:type="dxa"/>
            <w:vAlign w:val="bottom"/>
            <w:gridSpan w:val="24"/>
          </w:tcPr>
          <w:p>
            <w:pPr>
              <w:spacing w:after="0" w:line="196" w:lineRule="exact"/>
              <w:rPr>
                <w:sz w:val="20"/>
                <w:szCs w:val="20"/>
                <w:color w:val="auto"/>
              </w:rPr>
            </w:pPr>
            <w:r>
              <w:rPr>
                <w:rFonts w:ascii="Arial" w:cs="Arial" w:eastAsia="Arial" w:hAnsi="Arial"/>
                <w:sz w:val="18"/>
                <w:szCs w:val="18"/>
                <w:color w:val="0000EE"/>
              </w:rPr>
              <w:t>Letter from KPMG LLP dated August 17, 2023.</w:t>
            </w:r>
          </w:p>
        </w:tc>
      </w:tr>
      <w:tr>
        <w:trPr>
          <w:trHeight w:val="20"/>
        </w:trPr>
        <w:tc>
          <w:tcPr>
            <w:tcW w:w="142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500" w:type="dxa"/>
            <w:vAlign w:val="bottom"/>
            <w:gridSpan w:val="15"/>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9820" w:type="dxa"/>
            <w:vAlign w:val="bottom"/>
            <w:gridSpan w:val="24"/>
          </w:tcPr>
          <w:p>
            <w:pPr>
              <w:spacing w:after="0" w:line="196" w:lineRule="exact"/>
              <w:rPr>
                <w:sz w:val="20"/>
                <w:szCs w:val="20"/>
                <w:color w:val="auto"/>
              </w:rPr>
            </w:pPr>
            <w:r>
              <w:rPr>
                <w:rFonts w:ascii="Arial" w:cs="Arial" w:eastAsia="Arial" w:hAnsi="Arial"/>
                <w:sz w:val="18"/>
                <w:szCs w:val="18"/>
                <w:color w:val="0000EE"/>
              </w:rPr>
              <w:t>Press Release dated August 15, 2023, regarding the reverse stock split.</w:t>
            </w:r>
          </w:p>
        </w:tc>
      </w:tr>
      <w:tr>
        <w:trPr>
          <w:trHeight w:val="20"/>
        </w:trPr>
        <w:tc>
          <w:tcPr>
            <w:tcW w:w="1420" w:type="dxa"/>
            <w:vAlign w:val="bottom"/>
          </w:tcPr>
          <w:p>
            <w:pPr>
              <w:spacing w:after="0" w:line="20" w:lineRule="exact"/>
              <w:rPr>
                <w:sz w:val="1"/>
                <w:szCs w:val="1"/>
                <w:color w:val="auto"/>
              </w:rPr>
            </w:pPr>
          </w:p>
        </w:tc>
        <w:tc>
          <w:tcPr>
            <w:tcW w:w="508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500" w:type="dxa"/>
            <w:vAlign w:val="bottom"/>
            <w:gridSpan w:val="15"/>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9820" w:type="dxa"/>
            <w:vAlign w:val="bottom"/>
            <w:gridSpan w:val="24"/>
          </w:tcPr>
          <w:p>
            <w:pPr>
              <w:spacing w:after="0" w:line="196" w:lineRule="exact"/>
              <w:rPr>
                <w:sz w:val="20"/>
                <w:szCs w:val="20"/>
                <w:color w:val="auto"/>
              </w:rPr>
            </w:pPr>
            <w:r>
              <w:rPr>
                <w:rFonts w:ascii="Arial" w:cs="Arial" w:eastAsia="Arial" w:hAnsi="Arial"/>
                <w:sz w:val="18"/>
                <w:szCs w:val="18"/>
                <w:color w:val="0000EE"/>
              </w:rPr>
              <w:t>Press Release dated August 16, 2023, regarding the closing of the Merger.</w:t>
            </w:r>
          </w:p>
        </w:tc>
      </w:tr>
      <w:tr>
        <w:trPr>
          <w:trHeight w:val="20"/>
        </w:trPr>
        <w:tc>
          <w:tcPr>
            <w:tcW w:w="1420" w:type="dxa"/>
            <w:vAlign w:val="bottom"/>
          </w:tcPr>
          <w:p>
            <w:pPr>
              <w:spacing w:after="0" w:line="20" w:lineRule="exact"/>
              <w:rPr>
                <w:sz w:val="1"/>
                <w:szCs w:val="1"/>
                <w:color w:val="auto"/>
              </w:rPr>
            </w:pPr>
          </w:p>
        </w:tc>
        <w:tc>
          <w:tcPr>
            <w:tcW w:w="5320" w:type="dxa"/>
            <w:vAlign w:val="bottom"/>
            <w:gridSpan w:val="9"/>
            <w:shd w:val="clear" w:color="auto" w:fill="0000EE"/>
          </w:tcPr>
          <w:p>
            <w:pPr>
              <w:spacing w:after="0" w:line="20" w:lineRule="exact"/>
              <w:rPr>
                <w:sz w:val="1"/>
                <w:szCs w:val="1"/>
                <w:color w:val="auto"/>
              </w:rPr>
            </w:pPr>
          </w:p>
        </w:tc>
        <w:tc>
          <w:tcPr>
            <w:tcW w:w="4500" w:type="dxa"/>
            <w:vAlign w:val="bottom"/>
            <w:gridSpan w:val="15"/>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gridSpan w:val="2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right="3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registrant undertakes to furnish supplemental copies of any of the omitted schedules upon request by the SEC.</w:t>
      </w:r>
    </w:p>
    <w:p>
      <w:pPr>
        <w:spacing w:after="0" w:line="17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Arial" w:cs="Arial" w:eastAsia="Arial" w:hAnsi="Arial"/>
                <w:sz w:val="18"/>
                <w:szCs w:val="18"/>
                <w:color w:val="auto"/>
              </w:rPr>
              <w:t>Date: August 17, 2023</w:t>
            </w:r>
          </w:p>
        </w:tc>
        <w:tc>
          <w:tcPr>
            <w:tcW w:w="4300" w:type="dxa"/>
            <w:vAlign w:val="bottom"/>
            <w:gridSpan w:val="2"/>
          </w:tcPr>
          <w:p>
            <w:pPr>
              <w:ind w:left="1940"/>
              <w:spacing w:after="0"/>
              <w:rPr>
                <w:sz w:val="20"/>
                <w:szCs w:val="20"/>
                <w:color w:val="auto"/>
              </w:rPr>
            </w:pPr>
            <w:r>
              <w:rPr>
                <w:rFonts w:ascii="Arial" w:cs="Arial" w:eastAsia="Arial" w:hAnsi="Arial"/>
                <w:sz w:val="18"/>
                <w:szCs w:val="18"/>
                <w:b w:val="1"/>
                <w:bCs w:val="1"/>
                <w:color w:val="auto"/>
              </w:rPr>
              <w:t>CervoMed Inc.</w:t>
            </w:r>
          </w:p>
        </w:tc>
      </w:tr>
      <w:tr>
        <w:trPr>
          <w:trHeight w:val="190"/>
        </w:trPr>
        <w:tc>
          <w:tcPr>
            <w:tcW w:w="3580" w:type="dxa"/>
            <w:vAlign w:val="bottom"/>
          </w:tcPr>
          <w:p>
            <w:pPr>
              <w:spacing w:after="0"/>
              <w:rPr>
                <w:sz w:val="16"/>
                <w:szCs w:val="16"/>
                <w:color w:val="auto"/>
              </w:rPr>
            </w:pPr>
          </w:p>
        </w:tc>
        <w:tc>
          <w:tcPr>
            <w:tcW w:w="2460" w:type="dxa"/>
            <w:vAlign w:val="bottom"/>
          </w:tcPr>
          <w:p>
            <w:pPr>
              <w:ind w:left="1940"/>
              <w:spacing w:after="0" w:line="190" w:lineRule="exact"/>
              <w:rPr>
                <w:sz w:val="20"/>
                <w:szCs w:val="20"/>
                <w:color w:val="auto"/>
              </w:rPr>
            </w:pPr>
            <w:r>
              <w:rPr>
                <w:rFonts w:ascii="Arial" w:cs="Arial" w:eastAsia="Arial" w:hAnsi="Arial"/>
                <w:sz w:val="18"/>
                <w:szCs w:val="18"/>
                <w:color w:val="auto"/>
              </w:rPr>
              <w:t>By:</w:t>
            </w: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/s/ William Tanner, Ph.D.</w:t>
            </w:r>
          </w:p>
        </w:tc>
      </w:tr>
      <w:tr>
        <w:trPr>
          <w:trHeight w:val="222"/>
        </w:trPr>
        <w:tc>
          <w:tcPr>
            <w:tcW w:w="3580" w:type="dxa"/>
            <w:vAlign w:val="bottom"/>
          </w:tcPr>
          <w:p>
            <w:pPr>
              <w:spacing w:after="0"/>
              <w:rPr>
                <w:sz w:val="19"/>
                <w:szCs w:val="19"/>
                <w:color w:val="auto"/>
              </w:rPr>
            </w:pPr>
          </w:p>
        </w:tc>
        <w:tc>
          <w:tcPr>
            <w:tcW w:w="4300" w:type="dxa"/>
            <w:vAlign w:val="bottom"/>
            <w:gridSpan w:val="2"/>
          </w:tcPr>
          <w:p>
            <w:pPr>
              <w:ind w:left="1940"/>
              <w:spacing w:after="0"/>
              <w:rPr>
                <w:sz w:val="20"/>
                <w:szCs w:val="20"/>
                <w:color w:val="auto"/>
              </w:rPr>
            </w:pPr>
            <w:r>
              <w:rPr>
                <w:rFonts w:ascii="Arial" w:cs="Arial" w:eastAsia="Arial" w:hAnsi="Arial"/>
                <w:sz w:val="18"/>
                <w:szCs w:val="18"/>
                <w:color w:val="auto"/>
              </w:rPr>
              <w:t>Name: William Tanner, Ph.D.</w:t>
            </w:r>
          </w:p>
        </w:tc>
      </w:tr>
      <w:tr>
        <w:trPr>
          <w:trHeight w:val="230"/>
        </w:trPr>
        <w:tc>
          <w:tcPr>
            <w:tcW w:w="3580" w:type="dxa"/>
            <w:vAlign w:val="bottom"/>
          </w:tcPr>
          <w:p>
            <w:pPr>
              <w:spacing w:after="0"/>
              <w:rPr>
                <w:sz w:val="20"/>
                <w:szCs w:val="20"/>
                <w:color w:val="auto"/>
              </w:rPr>
            </w:pPr>
          </w:p>
        </w:tc>
        <w:tc>
          <w:tcPr>
            <w:tcW w:w="2460" w:type="dxa"/>
            <w:vAlign w:val="bottom"/>
          </w:tcPr>
          <w:p>
            <w:pPr>
              <w:ind w:left="1940"/>
              <w:spacing w:after="0"/>
              <w:rPr>
                <w:sz w:val="20"/>
                <w:szCs w:val="20"/>
                <w:color w:val="auto"/>
              </w:rPr>
            </w:pPr>
            <w:r>
              <w:rPr>
                <w:rFonts w:ascii="Arial" w:cs="Arial" w:eastAsia="Arial" w:hAnsi="Arial"/>
                <w:sz w:val="18"/>
                <w:szCs w:val="18"/>
                <w:color w:val="auto"/>
              </w:rPr>
              <w:t>Title:</w:t>
            </w:r>
          </w:p>
        </w:tc>
        <w:tc>
          <w:tcPr>
            <w:tcW w:w="1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580"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DAWN MERGER SUB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EIP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Title 8, Section 251(c)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undersigned corporation, organized and existing under and by virtue of the DGCL, does hereby certify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and state of incorporation of each of the constituent corporations are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554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State of Incorporation</w:t>
            </w: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Dawn Merger Sub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EIP Pharma,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SECOND: That certain Agreement and Plan of Merger, dated as of March 30, 2023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Diffusion Pharmaceuticals Inc., a Delaware corporation, Dawn Merger Sub Inc., a Delaware corporation, and EIP Pharma, Inc., a Delaware corporation, has been approved, adopted, certified, executed and acknowledged by each of the constituent corporations in accordance with Section 251 and Section 228 of the DGCL.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name of the surviving corporation is EIP Pharma, Inc., a Delaware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FOURTH: The certificate of incorporation of the Surviving Corporation shall be amended and restated as of the effective time of the merger to read in its entirety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reference, and as so amended and restated shall constitute the certificate of incorporation of the Surviving Corporation and shall continue in full force and effect until it is further amended in accordance with the terms thereof and the DGCL.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FIFTH: The merger shall become effective upon the filing of this Certificate of Merger with the Secretary of State of the State of Delaware.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SIXTH: That an executed copy of the Merger Agreement is on file at the principal place of business of the Surviving Corporation at 20 Park Plaza, Suite 424, Boston, Massachusetts 02116.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SEVENTH: A copy of the Merger Agreement will be furnished by the Surviving Corporation, on request and without cost, to any stockholder of either constituent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Surviving Corporation has caused this Certificate of Merger to be executed in its corporate name on August 16, 2023.</w:t>
      </w: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EIP PHARMA, INC.</w:t>
      </w:r>
    </w:p>
    <w:p>
      <w:pPr>
        <w:spacing w:after="0" w:line="200" w:lineRule="exact"/>
        <w:rPr>
          <w:sz w:val="20"/>
          <w:szCs w:val="20"/>
          <w:color w:val="auto"/>
        </w:rPr>
      </w:pPr>
    </w:p>
    <w:p>
      <w:pPr>
        <w:spacing w:after="0" w:line="245"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tab/>
        <w:t>/s/ John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14605</wp:posOffset>
            </wp:positionV>
            <wp:extent cx="2468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Name:John Alam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EIP PHARMA, INC.</w:t>
      </w:r>
    </w:p>
    <w:p>
      <w:pPr>
        <w:spacing w:after="0" w:line="229" w:lineRule="exact"/>
        <w:rPr>
          <w:sz w:val="20"/>
          <w:szCs w:val="20"/>
          <w:color w:val="auto"/>
        </w:rPr>
      </w:pPr>
    </w:p>
    <w:p>
      <w:pPr>
        <w:ind w:left="1200" w:hanging="544"/>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The name of the corporation is “EIP Pharma, Inc.” (the “Corporation”).</w:t>
      </w:r>
    </w:p>
    <w:p>
      <w:pPr>
        <w:spacing w:after="0" w:line="225" w:lineRule="exact"/>
        <w:rPr>
          <w:rFonts w:ascii="Arial" w:cs="Arial" w:eastAsia="Arial" w:hAnsi="Arial"/>
          <w:sz w:val="18"/>
          <w:szCs w:val="18"/>
          <w:color w:val="auto"/>
        </w:rPr>
      </w:pPr>
    </w:p>
    <w:p>
      <w:pPr>
        <w:ind w:firstLine="656"/>
        <w:spacing w:after="0" w:line="308" w:lineRule="auto"/>
        <w:tabs>
          <w:tab w:leader="none" w:pos="14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Registered Office and Agent. The address of the Corporation’s registered office in the State of Delaware is 1209 Orange Street, Wilmington, New Castle County, DE 19801. The name of the Corporation’s registered agent at such address is The Corporation Trust Company.</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Purpose. The purposes for which the Corporation is formed are to engage in any lawful act or activity for which corporations may be organized under the General Corporation Law of the State of Delaware (the “DGCL”) and to possess and exercise all of the powers and privileges granted by such law and any other law of Delaware.</w:t>
      </w:r>
    </w:p>
    <w:p>
      <w:pPr>
        <w:spacing w:after="0" w:line="183" w:lineRule="exact"/>
        <w:rPr>
          <w:rFonts w:ascii="Arial" w:cs="Arial" w:eastAsia="Arial" w:hAnsi="Arial"/>
          <w:sz w:val="18"/>
          <w:szCs w:val="18"/>
          <w:color w:val="auto"/>
        </w:rPr>
      </w:pPr>
    </w:p>
    <w:p>
      <w:pPr>
        <w:ind w:firstLine="656"/>
        <w:spacing w:after="0" w:line="277" w:lineRule="auto"/>
        <w:tabs>
          <w:tab w:leader="none" w:pos="1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Authorized Capital. The total number of shares of common stock that the Corporation shall have authority to issue is One Hundred (100) shares, all of which are of one class and are designated as Common Stock and each of which has a par value $0.00001.</w:t>
      </w:r>
    </w:p>
    <w:p>
      <w:pPr>
        <w:spacing w:after="0" w:line="170" w:lineRule="exact"/>
        <w:rPr>
          <w:rFonts w:ascii="Arial" w:cs="Arial" w:eastAsia="Arial" w:hAnsi="Arial"/>
          <w:sz w:val="18"/>
          <w:szCs w:val="18"/>
          <w:color w:val="auto"/>
        </w:rPr>
      </w:pPr>
    </w:p>
    <w:p>
      <w:pPr>
        <w:ind w:firstLine="656"/>
        <w:spacing w:after="0" w:line="277" w:lineRule="auto"/>
        <w:tabs>
          <w:tab w:leader="none" w:pos="13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Bylaws. The board of directors of the Corporation is authorized to adopt, amend or repeal the bylaws of the Corporation, except as otherwise specifically provided therein.</w:t>
      </w:r>
    </w:p>
    <w:p>
      <w:pPr>
        <w:spacing w:after="0" w:line="170" w:lineRule="exact"/>
        <w:rPr>
          <w:rFonts w:ascii="Arial" w:cs="Arial" w:eastAsia="Arial" w:hAnsi="Arial"/>
          <w:sz w:val="18"/>
          <w:szCs w:val="18"/>
          <w:color w:val="auto"/>
        </w:rPr>
      </w:pPr>
    </w:p>
    <w:p>
      <w:pPr>
        <w:ind w:left="1200" w:hanging="544"/>
        <w:spacing w:after="0"/>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Elections of Directors. Elections of directors need not be by written ballot unless the bylaws of the Corporation shall so provide.</w:t>
      </w:r>
    </w:p>
    <w:p>
      <w:pPr>
        <w:spacing w:after="0" w:line="236" w:lineRule="exact"/>
        <w:rPr>
          <w:rFonts w:ascii="Arial" w:cs="Arial" w:eastAsia="Arial" w:hAnsi="Arial"/>
          <w:sz w:val="17"/>
          <w:szCs w:val="17"/>
          <w:color w:val="auto"/>
        </w:rPr>
      </w:pPr>
    </w:p>
    <w:p>
      <w:pPr>
        <w:ind w:firstLine="656"/>
        <w:spacing w:after="0" w:line="342" w:lineRule="auto"/>
        <w:tabs>
          <w:tab w:leader="none" w:pos="11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Right to Amend. The Corporation reserves the right to amend any provision contained in this Certificate as the same may from time to time be in effect in the manner now or hereafter prescribed by law, and all rights conferred on stockholders or others hereunder are subject to such reservation.</w:t>
      </w:r>
    </w:p>
    <w:p>
      <w:pPr>
        <w:spacing w:after="0" w:line="123" w:lineRule="exact"/>
        <w:rPr>
          <w:rFonts w:ascii="Arial" w:cs="Arial" w:eastAsia="Arial" w:hAnsi="Arial"/>
          <w:sz w:val="16"/>
          <w:szCs w:val="16"/>
          <w:color w:val="auto"/>
        </w:rPr>
      </w:pPr>
    </w:p>
    <w:p>
      <w:pPr>
        <w:jc w:val="both"/>
        <w:ind w:firstLine="656"/>
        <w:spacing w:after="0" w:line="255" w:lineRule="auto"/>
        <w:tabs>
          <w:tab w:leader="none" w:pos="13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 on Liability. The Corporation is authorized to indemnify, and to advance expenses to, each current, former or prospective director, officer, employee or agent of the Corporation to the fullest extent permitted by Section 145 of the DGCL. To the fullest extent permitted by the laws of the State of Delaware, no director or officer shall be personally liable to the Corporation or its stockholders for monetary damages for breach of fiduciary duty as a director or officer. No amendment to, or modification or repeal of, this Section 9 shall adversely affect any right or protection of a director or of any officer, employee or agent of the Corporation existing hereunder with respect to any act or omission occurring prior to such amendment, modification or repeal.</w:t>
      </w:r>
    </w:p>
    <w:p>
      <w:pPr>
        <w:spacing w:after="0" w:line="192" w:lineRule="exact"/>
        <w:rPr>
          <w:rFonts w:ascii="Arial" w:cs="Arial" w:eastAsia="Arial" w:hAnsi="Arial"/>
          <w:sz w:val="18"/>
          <w:szCs w:val="18"/>
          <w:color w:val="auto"/>
        </w:rPr>
      </w:pPr>
    </w:p>
    <w:p>
      <w:pPr>
        <w:ind w:left="1200" w:hanging="544"/>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Combinations with Interested Stockholders. The Corporation elects not to be governed by Section 203 of the DGCL.</w:t>
      </w:r>
    </w:p>
    <w:p>
      <w:pPr>
        <w:sectPr>
          <w:pgSz w:w="11900" w:h="16838" w:orient="portrait"/>
          <w:cols w:equalWidth="0" w:num="1">
            <w:col w:w="11240"/>
          </w:cols>
          <w:pgMar w:left="320" w:top="58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DIFFUSION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DIFFUSION PHARMACEUTICALS INC.</w:t>
      </w:r>
      <w:r>
        <w:rPr>
          <w:rFonts w:ascii="Arial" w:cs="Arial" w:eastAsia="Arial" w:hAnsi="Arial"/>
          <w:sz w:val="17"/>
          <w:szCs w:val="17"/>
          <w:color w:val="auto"/>
        </w:rPr>
        <w:t>, a corporation incorporated and existing under and by virtue of the General Corporation Law of the State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FIRST: That, at a meeting of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March 29, 2023 a resolution was duly adopted setting forth a proposed amendment to the Certificate of Incorporation (as amended) of the Corporation in the form set forth below (the “</w:t>
      </w:r>
      <w:r>
        <w:rPr>
          <w:rFonts w:ascii="Arial" w:cs="Arial" w:eastAsia="Arial" w:hAnsi="Arial"/>
          <w:sz w:val="18"/>
          <w:szCs w:val="18"/>
          <w:u w:val="single" w:color="auto"/>
          <w:color w:val="auto"/>
        </w:rPr>
        <w:t>Amendment</w:t>
      </w:r>
      <w:r>
        <w:rPr>
          <w:rFonts w:ascii="Arial" w:cs="Arial" w:eastAsia="Arial" w:hAnsi="Arial"/>
          <w:sz w:val="18"/>
          <w:szCs w:val="18"/>
          <w:color w:val="auto"/>
        </w:rPr>
        <w:t>”), declaring said Amendment to be advisable and calling for consideration of said proposed Amendment by the stockholders of the Corporation.</w:t>
      </w:r>
    </w:p>
    <w:p>
      <w:pPr>
        <w:spacing w:after="0" w:line="18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“RESOLVED, that the Certificate of Incorporation (as amended) of the Corporation shall be amended by adding at the end of subsection A of Article IV thereof the following: ‘Effective upon the effective time of this Certificate of Amendment of the Certificate of Incorporation with the Secretary of State of the State of Delaware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one and a half (1.5) shares of Common Stock issued and outstanding immediately prior to the Effective Time shall, automatically and without the necessity of any further action, be changed, reclassified and combined into one (1) share of Common Stock (the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No fractional shares shall be issued in connection with the Reverse Stock Split. Stockholders who otherwise would be entitled to receive fractional shares of Common Stock shall have that rounded up to one additional whole share. Each certificate that immediately prior to the Effective Time represented shares of Common Stock (“</w:t>
      </w:r>
      <w:r>
        <w:rPr>
          <w:rFonts w:ascii="Arial" w:cs="Arial" w:eastAsia="Arial" w:hAnsi="Arial"/>
          <w:sz w:val="17"/>
          <w:szCs w:val="17"/>
          <w:u w:val="single" w:color="auto"/>
          <w:color w:val="auto"/>
        </w:rPr>
        <w:t>Old Certificates</w:t>
      </w:r>
      <w:r>
        <w:rPr>
          <w:rFonts w:ascii="Arial" w:cs="Arial" w:eastAsia="Arial" w:hAnsi="Arial"/>
          <w:sz w:val="17"/>
          <w:szCs w:val="17"/>
          <w:color w:val="auto"/>
        </w:rPr>
        <w:t>”), shall thereafter represent that number of shares of Common Stock into which the shares of Common Stock represented by the Old Certificate shall have been combined, subject to the elimination of fractional shares as described above.’”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SECOND: That, thereafter, pursuant to the resolution of the Board of Directors, the proposed Amendment was approved by the stockholders of the Corporation at the special meeting of stockholders on August 15, 2023.</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THIRD: That the Amendment was duly adopted in accordance with the provisions of Sections 242 of the General Corporation Law of the State of Delaware.</w:t>
      </w:r>
    </w:p>
    <w:p>
      <w:pPr>
        <w:spacing w:after="0" w:line="3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Corporation has caused this Amendment to the Certificate of Incorporation of the Corporation (as amended) to be executed by Robert J. Cobuzzi, Jr., Ph.D., its President and Chief Executive Officer, on this 16th day of August, 2023.</w:t>
      </w:r>
    </w:p>
    <w:p>
      <w:pPr>
        <w:spacing w:after="0" w:line="38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DIFFUSION PHARMACEUTICALS INC.</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J. Cobuzzi, Jr., Ph.D.</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Robert J. Cobuzzi, Jr., Ph.D.</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DIFFUSION PHARMACEUTICALS INC.</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Diffusion Pharmaceuticals Inc., a corporation organized and existing under and by virtue of the General Corporation Law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HEREBY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That, on August 8, 2023,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declared advisable and approved the following amendment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as amended:</w:t>
      </w:r>
    </w:p>
    <w:p>
      <w:pPr>
        <w:spacing w:after="0" w:line="20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Sections 242(a)(1) and 242(b)(1) of the General Corporation Law of the State of Delaware provide that the board of directors of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amend its certificate of incorporation after receipt of payment for its capital stock to change its corporate name without submitting such amendment to a vote of its stockholders; and</w:t>
      </w:r>
    </w:p>
    <w:p>
      <w:pPr>
        <w:spacing w:after="0" w:line="17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previously determined that it was advisable and in the best interests of the Corporation and its stockholders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Certificate of Incorporation, as amended, at the effective time of the merger of Dawn Merger Sub Inc. with and into EIP Pharma, Inc. (the “</w:t>
      </w:r>
      <w:r>
        <w:rPr>
          <w:rFonts w:ascii="Arial" w:cs="Arial" w:eastAsia="Arial" w:hAnsi="Arial"/>
          <w:sz w:val="18"/>
          <w:szCs w:val="18"/>
          <w:u w:val="single" w:color="auto"/>
          <w:color w:val="auto"/>
        </w:rPr>
        <w:t>Effective Time</w:t>
      </w:r>
      <w:r>
        <w:rPr>
          <w:rFonts w:ascii="Arial" w:cs="Arial" w:eastAsia="Arial" w:hAnsi="Arial"/>
          <w:sz w:val="18"/>
          <w:szCs w:val="18"/>
          <w:color w:val="auto"/>
        </w:rPr>
        <w:t>”), to change the name of the Corporation from “Diffusion Pharmaceuticals Inc.” to “CervoMed Inc.” (the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Name Change</w:t>
      </w:r>
      <w:r>
        <w:rPr>
          <w:rFonts w:ascii="Arial" w:cs="Arial" w:eastAsia="Arial" w:hAnsi="Arial"/>
          <w:sz w:val="18"/>
          <w:szCs w:val="18"/>
          <w:color w:val="auto"/>
        </w:rPr>
        <w:t>”).</w:t>
      </w:r>
    </w:p>
    <w:p>
      <w:pPr>
        <w:spacing w:after="0" w:line="180"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at the Effective Time, ARTICLE I – NAME of the Certificate of Incorporation,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deleted and replaced in its entirety with the following: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CervoMed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hereby approves the Amendment to the Certificate of Incorporation, as amended, to be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at the Effective Time; and further</w:t>
      </w:r>
    </w:p>
    <w:p>
      <w:pPr>
        <w:spacing w:after="0" w:line="162"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at the Effective Time, the Chief Executive Officer, the Chief Financial Officer and the General Counsel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Officers”) be, and each of them individually hereby is, authorized, empowered and directed, on behalf of the Corporation and in its name, to file the Certificate of Amendment to the Certificate of Incorporation, as amended, with the Secretary of State of the State of Delaware, and to take all other actions necessary or appropriate, to effect the Corporate Name Change.</w:t>
      </w:r>
    </w:p>
    <w:p>
      <w:pPr>
        <w:spacing w:after="0" w:line="16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 aforesaid amendment was duly adopted in accordance with the applicable provisions of Sections 242(a)(1) and 242(b)(1)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 without a meeting or vote of the Corporation’s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this Certificate of Amendment to the Certificate of Incorporation, as amended, shall be effective upon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this Certificate of Amendment as of the 16</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August, 2023.</w:t>
      </w:r>
    </w:p>
    <w:p>
      <w:pPr>
        <w:sectPr>
          <w:pgSz w:w="11900" w:h="16838" w:orient="portrait"/>
          <w:cols w:equalWidth="0" w:num="1">
            <w:col w:w="9479"/>
          </w:cols>
          <w:pgMar w:left="980" w:top="580" w:right="1440" w:bottom="1440" w:gutter="0" w:footer="0" w:header="0"/>
        </w:sectPr>
      </w:pPr>
    </w:p>
    <w:p>
      <w:pPr>
        <w:spacing w:after="0" w:line="34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DIFFUSION PHARMACEUTICALS INC.</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u w:val="single" w:color="auto"/>
          <w:color w:val="auto"/>
        </w:rPr>
        <w:t>/s/ William Elder</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William Elder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General Counsel and Secretary</w:t>
      </w:r>
    </w:p>
    <w:p>
      <w:pPr>
        <w:sectPr>
          <w:pgSz w:w="11900" w:h="16838" w:orient="portrait"/>
          <w:cols w:equalWidth="0" w:num="1">
            <w:col w:w="9479"/>
          </w:cols>
          <w:pgMar w:left="980" w:top="580" w:right="1440"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CERVOMED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ind w:right="220" w:firstLine="594"/>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address of the registered office of CervoMed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615 South Dupont Hwy., Dover, Kent County, Delaware 19901. The name of the registered agent of the Corporation at that address is National Corporate Research, Ltd.</w:t>
      </w:r>
    </w:p>
    <w:p>
      <w:pPr>
        <w:spacing w:after="0" w:line="184" w:lineRule="exact"/>
        <w:rPr>
          <w:sz w:val="20"/>
          <w:szCs w:val="20"/>
          <w:color w:val="auto"/>
        </w:rPr>
      </w:pPr>
    </w:p>
    <w:p>
      <w:pPr>
        <w:ind w:right="460" w:firstLine="59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have other offices, both within and without the State of Delaware,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from time to time shall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MEETINGS</w:t>
      </w:r>
    </w:p>
    <w:p>
      <w:pPr>
        <w:spacing w:after="0" w:line="211" w:lineRule="exact"/>
        <w:rPr>
          <w:sz w:val="20"/>
          <w:szCs w:val="20"/>
          <w:color w:val="auto"/>
        </w:rPr>
      </w:pPr>
    </w:p>
    <w:p>
      <w:pPr>
        <w:ind w:right="80" w:firstLine="594"/>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stockholders of the Corporation may be held at any place, either within or without the State of Delaware, as may be determined from time to time by the Board of Directors. The Board of Directors may, in its sole discretion, determine that a meeting of stockholders hall not be held at any place, but may instead be held solely by means of remote communication as authorized by Section 211(a)(2) of the General Corporation Law of the State of Delaware (as amended from time to time, the “DGCL”). In the absence of any such designation or determination, meetings of the stockholders of the Corporation shall be held at the Corporation’s principal executive office.</w:t>
      </w:r>
    </w:p>
    <w:p>
      <w:pPr>
        <w:spacing w:after="0" w:line="176"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Annual Meetings</w:t>
      </w:r>
      <w:r>
        <w:rPr>
          <w:rFonts w:ascii="Arial" w:cs="Arial" w:eastAsia="Arial" w:hAnsi="Arial"/>
          <w:sz w:val="16"/>
          <w:szCs w:val="16"/>
          <w:color w:val="auto"/>
        </w:rPr>
        <w:t>.</w:t>
      </w:r>
    </w:p>
    <w:p>
      <w:pPr>
        <w:spacing w:after="0" w:line="225" w:lineRule="exact"/>
        <w:rPr>
          <w:sz w:val="20"/>
          <w:szCs w:val="20"/>
          <w:color w:val="auto"/>
        </w:rPr>
      </w:pPr>
    </w:p>
    <w:p>
      <w:pPr>
        <w:ind w:left="600" w:right="80" w:firstLine="650"/>
        <w:spacing w:after="0" w:line="254" w:lineRule="auto"/>
        <w:tabs>
          <w:tab w:leader="none" w:pos="16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with respect to such meeting; (ii) by or at the direction of the Board of Directors; or (iii) by any stockholder of the Corporation who was a stockholder of record at the time of giving the stockholder’s notice provided for in the following subsection (b), who is entitled to vote at the meeting and who complied with the notice procedures set forth below in this Section 2.2.</w:t>
      </w:r>
    </w:p>
    <w:p>
      <w:pPr>
        <w:spacing w:after="0" w:line="194" w:lineRule="exact"/>
        <w:rPr>
          <w:rFonts w:ascii="Arial" w:cs="Arial" w:eastAsia="Arial" w:hAnsi="Arial"/>
          <w:sz w:val="18"/>
          <w:szCs w:val="18"/>
          <w:color w:val="auto"/>
        </w:rPr>
      </w:pPr>
    </w:p>
    <w:p>
      <w:pPr>
        <w:ind w:left="600" w:right="60" w:firstLine="650"/>
        <w:spacing w:after="0" w:line="291" w:lineRule="auto"/>
        <w:tabs>
          <w:tab w:leader="none" w:pos="168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Section 2.2(a)(iii) above,</w:t>
      </w:r>
    </w:p>
    <w:p>
      <w:pPr>
        <w:ind w:left="600" w:right="100" w:firstLine="2"/>
        <w:spacing w:after="0" w:line="268"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stockholder must have given timely notice thereof in writing to the Secretary of the Corporation, (ii) such other business must be a proper matter for stockholder action under the DGCL, and (iii) if the stockholder, or the beneficial owner on whose behalf any such proposal or nomination is made, has provided the Corporation with a Solicitation Notice (as defined below in Section 2.2(d)(iii)(C)(2)), such stockholder or beneficial owner must, in the case of a proposal, have delivered a proxy statement and form of proxy to holders of at least the percentage of the Corporation’s voting shares required under applicable law or the Corporation’s Certificate of Incorporation (as the same may be amended and/or restated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or these Bylaws (as the same may be amended and/or restated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56" w:firstLine="650"/>
        <w:spacing w:after="0" w:line="269" w:lineRule="auto"/>
        <w:tabs>
          <w:tab w:leader="none" w:pos="101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date of the proxy statement delivered to stockholders in connection with the preceding year’s annual meeting; provided, however, that in the event (i) the date of the annual meeting is advanced more than thirty (30) days prior to or delayed by more than thirty (30) days after the anniversary of the preceding year’s annual meeting, (ii) no proxy statement was delivered to stockholders in connection with the preceding year’s annual meeting, or (iii) the Corporation did not hold an annual meeting in the preceding year, notice by the stockholder to be timely must be so delivered not earlier than the close of business on the ninetieth (90th) day prior to such annual meeting and not later than the close of business on the later of the sixtieth (60th)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w:t>
      </w:r>
    </w:p>
    <w:p>
      <w:pPr>
        <w:spacing w:after="0" w:line="185" w:lineRule="exact"/>
        <w:rPr>
          <w:rFonts w:ascii="Arial" w:cs="Arial" w:eastAsia="Arial" w:hAnsi="Arial"/>
          <w:sz w:val="17"/>
          <w:szCs w:val="17"/>
          <w:color w:val="auto"/>
        </w:rPr>
      </w:pPr>
    </w:p>
    <w:p>
      <w:pPr>
        <w:ind w:left="1024" w:hanging="430"/>
        <w:spacing w:after="0"/>
        <w:tabs>
          <w:tab w:leader="none" w:pos="10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225" w:lineRule="exact"/>
        <w:rPr>
          <w:rFonts w:ascii="Arial" w:cs="Arial" w:eastAsia="Arial" w:hAnsi="Arial"/>
          <w:sz w:val="18"/>
          <w:szCs w:val="18"/>
          <w:color w:val="auto"/>
        </w:rPr>
      </w:pPr>
    </w:p>
    <w:p>
      <w:pPr>
        <w:ind w:left="604" w:right="80" w:firstLine="638"/>
        <w:spacing w:after="0" w:line="301" w:lineRule="auto"/>
        <w:tabs>
          <w:tab w:leader="none" w:pos="164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(as amended from time to time, the “</w:t>
      </w:r>
      <w:r>
        <w:rPr>
          <w:rFonts w:ascii="Arial" w:cs="Arial" w:eastAsia="Arial" w:hAnsi="Arial"/>
          <w:sz w:val="16"/>
          <w:szCs w:val="16"/>
          <w:u w:val="single" w:color="auto"/>
          <w:color w:val="auto"/>
        </w:rPr>
        <w:t>1934 Act</w:t>
      </w:r>
      <w:r>
        <w:rPr>
          <w:rFonts w:ascii="Arial" w:cs="Arial" w:eastAsia="Arial" w:hAnsi="Arial"/>
          <w:sz w:val="16"/>
          <w:szCs w:val="16"/>
          <w:color w:val="auto"/>
        </w:rPr>
        <w:t>”) (including such person’s written consent to being named in the proxy statement as a nominee and to serving as a director if elected);</w:t>
      </w:r>
    </w:p>
    <w:p>
      <w:pPr>
        <w:spacing w:after="0" w:line="157" w:lineRule="exact"/>
        <w:rPr>
          <w:sz w:val="20"/>
          <w:szCs w:val="20"/>
          <w:color w:val="auto"/>
        </w:rPr>
      </w:pPr>
    </w:p>
    <w:p>
      <w:pPr>
        <w:ind w:left="1624" w:hanging="454"/>
        <w:spacing w:after="0"/>
        <w:tabs>
          <w:tab w:leader="none" w:pos="1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w:t>
      </w:r>
    </w:p>
    <w:p>
      <w:pPr>
        <w:spacing w:after="0" w:line="23" w:lineRule="exact"/>
        <w:rPr>
          <w:sz w:val="20"/>
          <w:szCs w:val="20"/>
          <w:color w:val="auto"/>
        </w:rPr>
      </w:pPr>
    </w:p>
    <w:p>
      <w:pPr>
        <w:ind w:left="604" w:right="320"/>
        <w:spacing w:after="0" w:line="290" w:lineRule="auto"/>
        <w:rPr>
          <w:sz w:val="20"/>
          <w:szCs w:val="20"/>
          <w:color w:val="auto"/>
        </w:rPr>
      </w:pPr>
      <w:r>
        <w:rPr>
          <w:rFonts w:ascii="Arial" w:cs="Arial" w:eastAsia="Arial" w:hAnsi="Arial"/>
          <w:sz w:val="17"/>
          <w:szCs w:val="17"/>
          <w:color w:val="auto"/>
        </w:rPr>
        <w:t>business desired to be brought before the meeting, the reasons for conducting such business at the meeting and any material interest in such business of such stockholder and the beneficial owner, if any, on whose behalf the proposal is made; and</w:t>
      </w:r>
    </w:p>
    <w:p>
      <w:pPr>
        <w:spacing w:after="0" w:line="161" w:lineRule="exact"/>
        <w:rPr>
          <w:sz w:val="20"/>
          <w:szCs w:val="20"/>
          <w:color w:val="auto"/>
        </w:rPr>
      </w:pPr>
    </w:p>
    <w:p>
      <w:pPr>
        <w:ind w:left="1684" w:hanging="496"/>
        <w:spacing w:after="0"/>
        <w:tabs>
          <w:tab w:leader="none" w:pos="16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 proposal is</w:t>
      </w:r>
    </w:p>
    <w:p>
      <w:pPr>
        <w:spacing w:after="0" w:line="35" w:lineRule="exact"/>
        <w:rPr>
          <w:sz w:val="20"/>
          <w:szCs w:val="20"/>
          <w:color w:val="auto"/>
        </w:rPr>
      </w:pPr>
    </w:p>
    <w:p>
      <w:pPr>
        <w:ind w:left="604"/>
        <w:spacing w:after="0"/>
        <w:rPr>
          <w:sz w:val="20"/>
          <w:szCs w:val="20"/>
          <w:color w:val="auto"/>
        </w:rPr>
      </w:pPr>
      <w:r>
        <w:rPr>
          <w:rFonts w:ascii="Arial" w:cs="Arial" w:eastAsia="Arial" w:hAnsi="Arial"/>
          <w:sz w:val="18"/>
          <w:szCs w:val="18"/>
          <w:color w:val="auto"/>
        </w:rPr>
        <w:t>made:</w:t>
      </w:r>
    </w:p>
    <w:p>
      <w:pPr>
        <w:spacing w:after="0" w:line="211" w:lineRule="exact"/>
        <w:rPr>
          <w:sz w:val="20"/>
          <w:szCs w:val="20"/>
          <w:color w:val="auto"/>
        </w:rPr>
      </w:pPr>
    </w:p>
    <w:p>
      <w:pPr>
        <w:ind w:left="1064" w:hanging="470"/>
        <w:spacing w:after="0"/>
        <w:tabs>
          <w:tab w:leader="none" w:pos="10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books, and of such beneficial owner;</w:t>
      </w:r>
    </w:p>
    <w:p>
      <w:pPr>
        <w:spacing w:after="0" w:line="225" w:lineRule="exact"/>
        <w:rPr>
          <w:rFonts w:ascii="Arial" w:cs="Arial" w:eastAsia="Arial" w:hAnsi="Arial"/>
          <w:sz w:val="18"/>
          <w:szCs w:val="18"/>
          <w:color w:val="auto"/>
        </w:rPr>
      </w:pPr>
    </w:p>
    <w:p>
      <w:pPr>
        <w:ind w:left="4" w:firstLine="590"/>
        <w:spacing w:after="0" w:line="282" w:lineRule="auto"/>
        <w:tabs>
          <w:tab w:leader="none" w:pos="1063" w:val="left"/>
        </w:tabs>
        <w:numPr>
          <w:ilvl w:val="1"/>
          <w:numId w:val="17"/>
        </w:numPr>
        <w:rPr>
          <w:rFonts w:ascii="Arial" w:cs="Arial" w:eastAsia="Arial" w:hAnsi="Arial"/>
          <w:sz w:val="16"/>
          <w:szCs w:val="16"/>
          <w:color w:val="auto"/>
        </w:rPr>
      </w:pPr>
      <w:r>
        <w:rPr>
          <w:rFonts w:ascii="Arial" w:cs="Arial" w:eastAsia="Arial" w:hAnsi="Arial"/>
          <w:sz w:val="16"/>
          <w:szCs w:val="16"/>
          <w:color w:val="auto"/>
        </w:rPr>
        <w:t>(1) the class and number of shares of the Corporation which are owned beneficially and of record by such stockholder and such beneficial owner; (2)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such instrument or right shall be subject to settlement in the underlying class or series of capital stock of the Corporation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and such beneficial owner and any other direct or indirect opportunity to profit or share in any profit derived from any increase or decrease in the value of shares of the Corporation; (3) any proxy, contract, arrangement, understanding, or relationship pursuant to which such stockholder has a right to vote any shares of any security of the Corporation; (4)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held directly or indirectly by such stockholder and such beneficial owner; (5) any rights to dividends on the shares of the Corporation owned beneficially and of record by such stockholder and such beneficial owner that are separated or separable from the underlying shares of the Corporation; (6) any proportionate interest in shares of the Corporation or Derivative Instruments held, directly or indirectly, by a general or limited partnership in which such stockholder or such beneficial owner is a general partner or, directly or indirectly, beneficially owns an interest in a general partner; and (7) any performance-related fees (other than an asset-based fee) that such stockholder or such beneficial owner is entitled to based on any increase or decrease in the value of shares of the Corporation or Derivative Instruments, if any, as of the date of such notice, in each case including without limitation any such interests held by members of such stockholder’s or such beneficial owner’s immediate family sharing the same household (which information shall be supplemented by such stockholder and beneficial owner, if any, not later than ten</w:t>
      </w:r>
    </w:p>
    <w:p>
      <w:pPr>
        <w:spacing w:after="0" w:line="11" w:lineRule="exact"/>
        <w:rPr>
          <w:rFonts w:ascii="Arial" w:cs="Arial" w:eastAsia="Arial" w:hAnsi="Arial"/>
          <w:sz w:val="16"/>
          <w:szCs w:val="16"/>
          <w:color w:val="auto"/>
        </w:rPr>
      </w:pPr>
    </w:p>
    <w:p>
      <w:pPr>
        <w:ind w:left="344" w:hanging="344"/>
        <w:spacing w:after="0"/>
        <w:tabs>
          <w:tab w:leader="none" w:pos="3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days after the record date for the meeting to disclose such ownership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365760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24" w:name="page25"/>
    <w:bookmarkEnd w:id="24"/>
    <w:p>
      <w:pPr>
        <w:ind w:left="4" w:right="160" w:firstLine="590"/>
        <w:spacing w:after="0" w:line="259" w:lineRule="auto"/>
        <w:tabs>
          <w:tab w:leader="none" w:pos="10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1934 Act and the rules and regulations promulgated thereunder, including without limitation:</w:t>
      </w:r>
    </w:p>
    <w:p>
      <w:pPr>
        <w:spacing w:after="0" w:line="186" w:lineRule="exact"/>
        <w:rPr>
          <w:rFonts w:ascii="Arial" w:cs="Arial" w:eastAsia="Arial" w:hAnsi="Arial"/>
          <w:sz w:val="18"/>
          <w:szCs w:val="18"/>
          <w:color w:val="auto"/>
        </w:rPr>
      </w:pPr>
    </w:p>
    <w:p>
      <w:pPr>
        <w:jc w:val="both"/>
        <w:ind w:left="1824" w:right="60" w:firstLine="642"/>
        <w:spacing w:after="0" w:line="263" w:lineRule="auto"/>
        <w:tabs>
          <w:tab w:leader="none" w:pos="29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beneficial owner and each proposed nominee and any other person or persons (including their names) pursuant to which the nomination(s) are to be made by such stockholder; and</w:t>
      </w:r>
    </w:p>
    <w:p>
      <w:pPr>
        <w:spacing w:after="0" w:line="183" w:lineRule="exact"/>
        <w:rPr>
          <w:rFonts w:ascii="Arial" w:cs="Arial" w:eastAsia="Arial" w:hAnsi="Arial"/>
          <w:sz w:val="18"/>
          <w:szCs w:val="18"/>
          <w:color w:val="auto"/>
        </w:rPr>
      </w:pPr>
    </w:p>
    <w:p>
      <w:pPr>
        <w:ind w:left="1824" w:right="100" w:firstLine="642"/>
        <w:spacing w:after="0" w:line="257" w:lineRule="auto"/>
        <w:tabs>
          <w:tab w:leader="none" w:pos="29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whether either such stockholder or beneficial owner intends to deliver a proxy statement and form of proxy to holders of, in the case of the proposal, at least the percentage of the Corporation’s voting shares required under applicable law or the Certificate of Incorporation or these Bylaws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8"/>
          <w:szCs w:val="18"/>
          <w:u w:val="single" w:color="auto"/>
          <w:color w:val="auto"/>
        </w:rPr>
        <w:t>Solicitation Notice</w:t>
      </w:r>
      <w:r>
        <w:rPr>
          <w:rFonts w:ascii="Arial" w:cs="Arial" w:eastAsia="Arial" w:hAnsi="Arial"/>
          <w:sz w:val="18"/>
          <w:szCs w:val="18"/>
          <w:color w:val="auto"/>
        </w:rPr>
        <w:t>”).</w:t>
      </w:r>
    </w:p>
    <w:p>
      <w:pPr>
        <w:spacing w:after="0" w:line="188" w:lineRule="exact"/>
        <w:rPr>
          <w:sz w:val="20"/>
          <w:szCs w:val="20"/>
          <w:color w:val="auto"/>
        </w:rPr>
      </w:pPr>
    </w:p>
    <w:p>
      <w:pPr>
        <w:ind w:left="4" w:firstLine="590"/>
        <w:spacing w:after="0" w:line="286" w:lineRule="auto"/>
        <w:tabs>
          <w:tab w:leader="none" w:pos="1023"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Notwithstanding anything in Section 2.2(c)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annual meeting (or, if the annual meeting is held more than thirty (30) days before or thirty (30) days after such anniversary date, at least seventy</w:t>
      </w:r>
    </w:p>
    <w:p>
      <w:pPr>
        <w:spacing w:after="0" w:line="1" w:lineRule="exact"/>
        <w:rPr>
          <w:rFonts w:ascii="Arial" w:cs="Arial" w:eastAsia="Arial" w:hAnsi="Arial"/>
          <w:sz w:val="16"/>
          <w:szCs w:val="16"/>
          <w:color w:val="auto"/>
        </w:rPr>
      </w:pPr>
    </w:p>
    <w:p>
      <w:pPr>
        <w:ind w:left="4" w:right="60" w:hanging="4"/>
        <w:spacing w:after="0" w:line="253"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days prior to such annual meeting) a stockholder’s notice required by this Section 2.2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4" w:right="40" w:firstLine="590"/>
        <w:spacing w:after="0" w:line="293" w:lineRule="auto"/>
        <w:tabs>
          <w:tab w:leader="none" w:pos="10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2.2 shall be eligible to serve as directors and only such business shall be conducted at a meeting of stockholders as shall have been brought before the meeting in accordance with the procedures set forth in this Section 2.2.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64" w:lineRule="exact"/>
        <w:rPr>
          <w:rFonts w:ascii="Arial" w:cs="Arial" w:eastAsia="Arial" w:hAnsi="Arial"/>
          <w:sz w:val="16"/>
          <w:szCs w:val="16"/>
          <w:color w:val="auto"/>
        </w:rPr>
      </w:pPr>
    </w:p>
    <w:p>
      <w:pPr>
        <w:ind w:left="4" w:firstLine="590"/>
        <w:spacing w:after="0" w:line="259" w:lineRule="auto"/>
        <w:tabs>
          <w:tab w:leader="none" w:pos="1033"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2.2,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Corporation’s proxy statement pursuant to Rule 14a-8 under the 1934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350520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25" w:name="page26"/>
    <w:bookmarkEnd w:id="25"/>
    <w:p>
      <w:pPr>
        <w:ind w:left="660" w:right="40" w:firstLine="590"/>
        <w:spacing w:after="0" w:line="263" w:lineRule="auto"/>
        <w:tabs>
          <w:tab w:leader="none" w:pos="16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these Bylaws,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PR Newswire, Reuters or comparable national news service or in a document publicly filed by the Corporation with the U.S. Securities and Exchange Commission pursuant to Section 13, 14 or 15(d) of the 1934 Act.</w:t>
      </w:r>
    </w:p>
    <w:p>
      <w:pPr>
        <w:spacing w:after="0" w:line="184"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25" w:lineRule="exact"/>
        <w:rPr>
          <w:sz w:val="20"/>
          <w:szCs w:val="20"/>
          <w:color w:val="auto"/>
        </w:rPr>
      </w:pPr>
    </w:p>
    <w:p>
      <w:pPr>
        <w:ind w:left="660" w:right="20" w:firstLine="590"/>
        <w:spacing w:after="0" w:line="259" w:lineRule="auto"/>
        <w:tabs>
          <w:tab w:leader="none" w:pos="16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provided in the Certificate of Incorporation, special meetings of the stockholders of the Corporation may be called, for any purpose or purposes, only by (i) the Chairman of the Board of Directors, (ii) the Chief Executive Officer, or (iii) the Board of Directors pursuant to a resolution adopted by a majority of the directors then in office, and shall be held at such place, on such date and at such time as determined by the Board of Directors.</w:t>
      </w:r>
    </w:p>
    <w:p>
      <w:pPr>
        <w:spacing w:after="0" w:line="186" w:lineRule="exact"/>
        <w:rPr>
          <w:rFonts w:ascii="Arial" w:cs="Arial" w:eastAsia="Arial" w:hAnsi="Arial"/>
          <w:sz w:val="18"/>
          <w:szCs w:val="18"/>
          <w:color w:val="auto"/>
        </w:rPr>
      </w:pPr>
    </w:p>
    <w:p>
      <w:pPr>
        <w:ind w:left="660" w:firstLine="590"/>
        <w:spacing w:after="0" w:line="271" w:lineRule="auto"/>
        <w:tabs>
          <w:tab w:leader="none" w:pos="16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to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Secretary shall cause notice to be given to the stockholders entitled to vote, in accordance with the provisions of Section 2.4 of these Bylaws. Nothing contained in this subsection (b) shall be construed as limiting, fixing or affecting the time when a meeting of stockholders called by action of the Board of Directors may be held.</w:t>
      </w:r>
    </w:p>
    <w:p>
      <w:pPr>
        <w:spacing w:after="0" w:line="178" w:lineRule="exact"/>
        <w:rPr>
          <w:rFonts w:ascii="Arial" w:cs="Arial" w:eastAsia="Arial" w:hAnsi="Arial"/>
          <w:sz w:val="17"/>
          <w:szCs w:val="17"/>
          <w:color w:val="auto"/>
        </w:rPr>
      </w:pPr>
    </w:p>
    <w:p>
      <w:pPr>
        <w:ind w:left="660" w:right="20" w:firstLine="590"/>
        <w:spacing w:after="0" w:line="287" w:lineRule="auto"/>
        <w:tabs>
          <w:tab w:leader="none" w:pos="16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the time of giving notice provided for in these Bylaws who shall be entitled to vote at the meeting and who complies with the notice procedures set forth in this Section 2.3(c).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otherwise required by Section 2.2 of these Bylaws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71" w:lineRule="exact"/>
        <w:rPr>
          <w:rFonts w:ascii="Arial" w:cs="Arial" w:eastAsia="Arial" w:hAnsi="Arial"/>
          <w:sz w:val="16"/>
          <w:szCs w:val="16"/>
          <w:color w:val="auto"/>
        </w:rPr>
      </w:pPr>
    </w:p>
    <w:p>
      <w:pPr>
        <w:ind w:left="600" w:right="160" w:firstLine="650"/>
        <w:spacing w:after="0" w:line="263" w:lineRule="auto"/>
        <w:tabs>
          <w:tab w:leader="none" w:pos="1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any special meeting of the stockholders may be cancelled by resolution duly adopted by a majority of the directors then in office upon public notice given prior to the date previously scheduled for such meeting of stockholders.</w:t>
      </w:r>
    </w:p>
    <w:p>
      <w:pPr>
        <w:spacing w:after="0" w:line="184" w:lineRule="exact"/>
        <w:rPr>
          <w:sz w:val="20"/>
          <w:szCs w:val="20"/>
          <w:color w:val="auto"/>
        </w:rPr>
      </w:pPr>
    </w:p>
    <w:p>
      <w:pPr>
        <w:ind w:right="60" w:firstLine="594"/>
        <w:spacing w:after="0" w:line="26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Except as otherwise provided by law, notice, given in writing or by electronic transmission, of each meeting of stockholders shall be given not less than ten (10) nor more than sixty (60) days before the date of the meeting to each stockholder entitled to vote at such meeting as of the record date for determining the stockholders entitled to notice of the meeting. Such notice shall specify the place, date and hour of the meeting, the means of remote communication(s), if any, by which stockholders and proxyholders may be deemed to be present in person and vote at such meeting (as authorized by the Board of Directors in its sole discretion pursuant to Section 211(a)(2) of the DGCL), the record date for determining the stockholders entitled to vote at the meeting if such date is different from the record date for determining stockholders entitled to notice of the meeting, and, in the case of a special meeting, the purpose or purposes of the meeting. Notice of any meeting of stockholders, if mailed, is given when deposited in the United States mail, postage prepaid, directed to the stockholder at such stockholder’s address as it appears on the records of the Corporation and otherwise is given when delivered. Notice of the time, place, and purpose of any meeting of stockholders may be waived in writing, signed by the person entitled to notice thereof, or by electronic transmission by such person, either before or after such meeting, and will be waived by any stockholder by his or her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Neither the business to be transacted at, nor the purpose of, any annual or special meeting of the stockholders need be specified in any written waiver of notice or any waiver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60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Determination of Stockholders of Record</w:t>
      </w:r>
      <w:r>
        <w:rPr>
          <w:rFonts w:ascii="Arial" w:cs="Arial" w:eastAsia="Arial" w:hAnsi="Arial"/>
          <w:sz w:val="16"/>
          <w:szCs w:val="16"/>
          <w:color w:val="auto"/>
        </w:rPr>
        <w:t>.</w:t>
      </w:r>
    </w:p>
    <w:p>
      <w:pPr>
        <w:spacing w:after="0" w:line="225" w:lineRule="exact"/>
        <w:rPr>
          <w:sz w:val="20"/>
          <w:szCs w:val="20"/>
          <w:color w:val="auto"/>
        </w:rPr>
      </w:pPr>
    </w:p>
    <w:p>
      <w:pPr>
        <w:ind w:left="600" w:right="20" w:firstLine="650"/>
        <w:spacing w:after="0" w:line="269" w:lineRule="auto"/>
        <w:tabs>
          <w:tab w:leader="none" w:pos="16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178" w:lineRule="exact"/>
        <w:rPr>
          <w:rFonts w:ascii="Arial" w:cs="Arial" w:eastAsia="Arial" w:hAnsi="Arial"/>
          <w:sz w:val="17"/>
          <w:szCs w:val="17"/>
          <w:color w:val="auto"/>
        </w:rPr>
      </w:pPr>
    </w:p>
    <w:p>
      <w:pPr>
        <w:ind w:left="600" w:firstLine="650"/>
        <w:spacing w:after="0" w:line="287" w:lineRule="auto"/>
        <w:tabs>
          <w:tab w:leader="none" w:pos="16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172" w:lineRule="exact"/>
        <w:rPr>
          <w:sz w:val="20"/>
          <w:szCs w:val="20"/>
          <w:color w:val="auto"/>
        </w:rPr>
      </w:pPr>
    </w:p>
    <w:p>
      <w:pPr>
        <w:ind w:right="20" w:firstLine="594"/>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Quorum</w:t>
      </w:r>
      <w:r>
        <w:rPr>
          <w:rFonts w:ascii="Arial" w:cs="Arial" w:eastAsia="Arial" w:hAnsi="Arial"/>
          <w:sz w:val="16"/>
          <w:szCs w:val="16"/>
          <w:color w:val="auto"/>
        </w:rPr>
        <w:t>. At all meetings of the stockholders, except where otherwise provided by law, the Certificate of Incorporation or these Bylaws, the presence, in person or by proxy duly authorized, of the holders of 33.4%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Where a separate vote by a class or series or classes or series is required, except where otherwise provided by law or by the Certificate of Incorporation or these Bylaws, 33.4% the outstanding shares of such class or series or classes or series, present in person or represented by proxy duly authorized, shall constitute a quorum entitled to take action with respect to that vote on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20" w:firstLine="594"/>
        <w:spacing w:after="0" w:line="26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Adjournment and Notice of Adjourned Meetings</w:t>
      </w:r>
      <w:r>
        <w:rPr>
          <w:rFonts w:ascii="Arial" w:cs="Arial" w:eastAsia="Arial" w:hAnsi="Arial"/>
          <w:sz w:val="17"/>
          <w:szCs w:val="17"/>
          <w:color w:val="auto"/>
        </w:rPr>
        <w:t>. Any meeting of stockholders, whether annual or special, may be adjourned from time to time either by the chairman of the meeting or by the vote of a majority of the shares present in person or represented by proxy at the meeting. When a meeting is adjourned to another time or place, notice need not be given of the adjourned meeting if the time and place thereof, and the means of remote communication(s), if any, by which stockholders and proxyholders may be deemed to be present in person and vote at such adjourned meeting (as authorized by the Board of Directors in its sole discretion pursuant to Section 211(a)(2) of the DGCL),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firstLine="594"/>
        <w:spacing w:after="0" w:line="291"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by law or by the Certificate of Incorporation or these Bylaws, in all matters other than the election of directors, the affirmative vote of the majority of shares present in person or represented by proxy at the meeting and entitled to vote generally on the subject matter shall be the act of the stockholders. Except as otherwise provided by law, the Certificate of Incorporation or these Bylaws, directors shall be elected by a plurality of the votes of the shares present in person or represented by proxy at the meeting and entitled to vote generally on the election of directors. Where a separate vote by a class or series or classes or series is required, except where otherwise provided by law or by the Certificate of Incorporation or these Bylaws, the affirmative vote of the majority (plurality, in the case of the election of directors) of shares of such class or series or classes or series present in person or represented by proxy at the meeting shall be the act of such class or series or classes or series.</w:t>
      </w:r>
    </w:p>
    <w:p>
      <w:pPr>
        <w:spacing w:after="0" w:line="166" w:lineRule="exact"/>
        <w:rPr>
          <w:sz w:val="20"/>
          <w:szCs w:val="20"/>
          <w:color w:val="auto"/>
        </w:rPr>
      </w:pPr>
    </w:p>
    <w:p>
      <w:pPr>
        <w:ind w:right="40" w:firstLine="594"/>
        <w:spacing w:after="0" w:line="286"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Voting Rights</w:t>
      </w:r>
      <w:r>
        <w:rPr>
          <w:rFonts w:ascii="Arial" w:cs="Arial" w:eastAsia="Arial" w:hAnsi="Arial"/>
          <w:sz w:val="16"/>
          <w:szCs w:val="16"/>
          <w:color w:val="auto"/>
        </w:rPr>
        <w:t>. For the purpose of determining those stockholders entitled to vote at any meeting of the stockholders, except as otherwise provided by law, only persons in whose names shares stand on the stock records of the Corporation on the record date, as provided in Section 6.5 of these Bylaws, shall be entitled to vote at any meeting of stockholders. Every person entitled to vote shall have the right to do so either in person or by an agent or agents authorized by a proxy granted in accordance with the DGCL. An agent so appointed need not be a stockholder. No proxy shall be voted after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years from its date of creation unless the proxy provides for a longer period.</w:t>
      </w:r>
    </w:p>
    <w:p>
      <w:pPr>
        <w:spacing w:after="0" w:line="211" w:lineRule="exact"/>
        <w:rPr>
          <w:sz w:val="20"/>
          <w:szCs w:val="20"/>
          <w:color w:val="auto"/>
        </w:rPr>
      </w:pPr>
    </w:p>
    <w:p>
      <w:pPr>
        <w:ind w:right="40" w:firstLine="594"/>
        <w:spacing w:after="0" w:line="27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Joint Owners of Stock</w:t>
      </w:r>
      <w:r>
        <w:rPr>
          <w:rFonts w:ascii="Arial" w:cs="Arial" w:eastAsia="Arial" w:hAnsi="Arial"/>
          <w:sz w:val="17"/>
          <w:szCs w:val="17"/>
          <w:color w:val="auto"/>
        </w:rPr>
        <w:t>.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clauses (b) and (c) shall be a majority or even-split in interest.</w:t>
      </w:r>
    </w:p>
    <w:p>
      <w:pPr>
        <w:spacing w:after="0" w:line="178" w:lineRule="exact"/>
        <w:rPr>
          <w:sz w:val="20"/>
          <w:szCs w:val="20"/>
          <w:color w:val="auto"/>
        </w:rPr>
      </w:pPr>
    </w:p>
    <w:p>
      <w:pPr>
        <w:ind w:firstLine="594"/>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said meeting (provided, however, that if the record date for determining the stockholders entitled to vote is less than ten (10) days before the date of the meeting, the list shall reflect the stockholders entitled to vote as of the tenth (10 ) day before the meeting date), arranged in alphabetical order, showing the address of each stockholder and the number of shares registered in the name of each stockholder. Nothing contained in this Section 2.11 shall require the Corporation to include electronic mail addresses or other electronic contact information on such list. Such list shall be open to the examination of any stockholder, for any purpose germane to the meeting for a period of at least ten</w:t>
      </w:r>
    </w:p>
    <w:p>
      <w:pPr>
        <w:spacing w:after="0" w:line="4" w:lineRule="exact"/>
        <w:rPr>
          <w:sz w:val="20"/>
          <w:szCs w:val="20"/>
          <w:color w:val="auto"/>
        </w:rPr>
      </w:pPr>
    </w:p>
    <w:p>
      <w:pPr>
        <w:ind w:right="180" w:firstLine="8"/>
        <w:spacing w:after="0" w:line="268" w:lineRule="auto"/>
        <w:tabs>
          <w:tab w:leader="none" w:pos="3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days prior to the meeting, (a) on a reasonably accessible electronic network, provided that the information required to gain access to such list is provided with the notice of the meeting, or (b)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of the Corporation who is present. If the meeting is to be held solely by means of remote communication, then such list shall also be open to the examination of any stockholder of the Corporation during the whole time of the meeting on a reasonably accessible electronic network, and the information required to access such list shall be provided with the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Action Without Meeting</w:t>
      </w:r>
      <w:r>
        <w:rPr>
          <w:rFonts w:ascii="Arial" w:cs="Arial" w:eastAsia="Arial" w:hAnsi="Arial"/>
          <w:sz w:val="17"/>
          <w:szCs w:val="17"/>
          <w:color w:val="auto"/>
        </w:rPr>
        <w:t>.</w:t>
      </w:r>
    </w:p>
    <w:p>
      <w:pPr>
        <w:spacing w:after="0" w:line="225" w:lineRule="exact"/>
        <w:rPr>
          <w:sz w:val="20"/>
          <w:szCs w:val="20"/>
          <w:color w:val="auto"/>
        </w:rPr>
      </w:pPr>
    </w:p>
    <w:p>
      <w:pPr>
        <w:ind w:right="20" w:firstLine="650"/>
        <w:spacing w:after="0" w:line="273" w:lineRule="auto"/>
        <w:tabs>
          <w:tab w:leader="none" w:pos="10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action to be taken at any annual or special meeting of stockholders may be taken without a meeting,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its principal place of business or an officer or agent of the Corporation having custody of the book in which proceedings of meetings of the stockholders are recorded.</w:t>
      </w:r>
    </w:p>
    <w:p>
      <w:pPr>
        <w:spacing w:after="0" w:line="177" w:lineRule="exact"/>
        <w:rPr>
          <w:rFonts w:ascii="Arial" w:cs="Arial" w:eastAsia="Arial" w:hAnsi="Arial"/>
          <w:sz w:val="17"/>
          <w:szCs w:val="17"/>
          <w:color w:val="auto"/>
        </w:rPr>
      </w:pPr>
    </w:p>
    <w:p>
      <w:pPr>
        <w:ind w:firstLine="650"/>
        <w:spacing w:after="0" w:line="271" w:lineRule="auto"/>
        <w:tabs>
          <w:tab w:leader="none" w:pos="10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Every written consent shall bear the date of signature of each stockholder who signs the consent, and no written consent shall be effective to take the corporate action referred to therein unless, within sixty (60) days of the earliest dated consent delivered in the manner required by this Section 2.11, written consents signed by a sufficient number of holders to take action are delivered to the Corporation as aforesaid. Delivery made to the Corporation’s registered office shall be by hand or by certified or registered mail, return receipt requested.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and, if evidence of such instruction or provision is provided to the Corporation, such later effective time shall serve as the date of signature. Unless otherwise provided, any such consent shall be revocable prior to its becoming effective.</w:t>
      </w:r>
    </w:p>
    <w:p>
      <w:pPr>
        <w:spacing w:after="0" w:line="178" w:lineRule="exact"/>
        <w:rPr>
          <w:rFonts w:ascii="Arial" w:cs="Arial" w:eastAsia="Arial" w:hAnsi="Arial"/>
          <w:sz w:val="17"/>
          <w:szCs w:val="17"/>
          <w:color w:val="auto"/>
        </w:rPr>
      </w:pPr>
    </w:p>
    <w:p>
      <w:pPr>
        <w:jc w:val="both"/>
        <w:ind w:right="140" w:firstLine="650"/>
        <w:spacing w:after="0" w:line="263" w:lineRule="auto"/>
        <w:tabs>
          <w:tab w:leader="none" w:pos="10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3" w:lineRule="exact"/>
        <w:rPr>
          <w:rFonts w:ascii="Arial" w:cs="Arial" w:eastAsia="Arial" w:hAnsi="Arial"/>
          <w:sz w:val="18"/>
          <w:szCs w:val="18"/>
          <w:color w:val="auto"/>
        </w:rPr>
      </w:pPr>
    </w:p>
    <w:p>
      <w:pPr>
        <w:ind w:right="180" w:firstLine="650"/>
        <w:spacing w:after="0" w:line="259" w:lineRule="auto"/>
        <w:tabs>
          <w:tab w:leader="none" w:pos="10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w:t>
      </w:r>
    </w:p>
    <w:p>
      <w:pPr>
        <w:spacing w:after="0" w:line="225" w:lineRule="exact"/>
        <w:rPr>
          <w:sz w:val="20"/>
          <w:szCs w:val="20"/>
          <w:color w:val="auto"/>
        </w:rPr>
      </w:pPr>
    </w:p>
    <w:p>
      <w:pPr>
        <w:ind w:right="20" w:firstLine="650"/>
        <w:spacing w:after="0" w:line="254" w:lineRule="auto"/>
        <w:tabs>
          <w:tab w:leader="none" w:pos="10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every meeting of stockholders, (i) the Chairman of the Board of Directors or, if a Chairman of the Board of Directors has not been appointed or is absent, (ii) the Vice Chairman of the Board of Directors, if any, or, if the Vice Chairman of the Board of Directors is absent or there is no Vice Chairman of the Board of Directors, (iii) the Chief Executive Officer or, if the Chief Executive Officer is absent, (iv) such person as the Chairman of the Board of Directors shall appoint or, if such Chairman has not been appointed, (v) any officer of the Corporation chosen by the Board of Directors, shall act as chairman of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355600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920" w:top="584" w:right="339" w:bottom="1440" w:gutter="0" w:footer="0" w:header="0"/>
        </w:sectPr>
      </w:pPr>
    </w:p>
    <w:bookmarkStart w:id="29" w:name="page30"/>
    <w:bookmarkEnd w:id="29"/>
    <w:p>
      <w:pPr>
        <w:ind w:left="600" w:firstLine="650"/>
        <w:spacing w:after="0" w:line="291" w:lineRule="auto"/>
        <w:tabs>
          <w:tab w:leader="none" w:pos="16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Board of Directors, in advance of any meeting of stockholders, may, and shall if required by law, appoint one (1) or more inspector(s), who may include individual(s) who serve the Corporation in other capacities, including without limitation as officers, employees or agents, to act at the meeting of stockholders and make a written report thereof. The Board of Directors may designate one (1) or more persons as alternate inspector(s) to replace any inspector who fails to act. If no inspector or alternate has been appointed or is able to act at a meeting of stockholders, the chairman of the meeting shall appoint one (1) or more inspector(s) to act at the meeting. Each inspector, before discharging his or her duties, shall take and sign an oath to faithfully execute the duties of inspector with strict impartiality and according to the best of his or her ability. The inspector(s) or alternate(s) shall have the duties prescribed pursuant to Section 231 of the DGCL or other applicable law.</w:t>
      </w:r>
    </w:p>
    <w:p>
      <w:pPr>
        <w:spacing w:after="0" w:line="166" w:lineRule="exact"/>
        <w:rPr>
          <w:rFonts w:ascii="Arial" w:cs="Arial" w:eastAsia="Arial" w:hAnsi="Arial"/>
          <w:sz w:val="16"/>
          <w:szCs w:val="16"/>
          <w:color w:val="auto"/>
        </w:rPr>
      </w:pPr>
    </w:p>
    <w:p>
      <w:pPr>
        <w:ind w:left="600" w:right="60" w:firstLine="650"/>
        <w:spacing w:after="0" w:line="287" w:lineRule="auto"/>
        <w:tabs>
          <w:tab w:leader="none" w:pos="167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Board of Directors of the Corporation shall be entitled to make such rules or regulations for the conduct of meetings of the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the stockholders shall not be required to be held in accordance with rules of parliamentary procedure.</w:t>
      </w:r>
    </w:p>
    <w:p>
      <w:pPr>
        <w:spacing w:after="0" w:line="172" w:lineRule="exact"/>
        <w:rPr>
          <w:sz w:val="20"/>
          <w:szCs w:val="20"/>
          <w:color w:val="auto"/>
        </w:rPr>
      </w:pPr>
    </w:p>
    <w:p>
      <w:pPr>
        <w:jc w:val="both"/>
        <w:ind w:right="200" w:firstLine="594"/>
        <w:spacing w:after="0" w:line="263"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Postponement and Cancellation of Meeting</w:t>
      </w:r>
      <w:r>
        <w:rPr>
          <w:rFonts w:ascii="Arial" w:cs="Arial" w:eastAsia="Arial" w:hAnsi="Arial"/>
          <w:sz w:val="18"/>
          <w:szCs w:val="18"/>
          <w:color w:val="auto"/>
        </w:rPr>
        <w:t>. Any previously scheduled annual or special meeting of stockholders may be postponed, and any previously scheduled annual or special meeting of stockholders may be cancelled, by resolution of the Board of Directors upon public notice given prior to the time previously scheduled for such meeting.</w:t>
      </w:r>
    </w:p>
    <w:p>
      <w:pPr>
        <w:spacing w:after="0" w:line="18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60" w:firstLine="594"/>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 except as may be otherwise provided in the DGCL or in the Certificate of Incorporation. The Board of Directors may adopt such rules and procedures, not inconsistent with the Certificate of Incorporation, these Bylaws or applicable law, as it may deem proper for the conduct of its meetings and the management of the Corporation, except as may be otherwise provided by the DGCL or by the Certificate of Incorporation.</w:t>
      </w:r>
    </w:p>
    <w:p>
      <w:pPr>
        <w:spacing w:after="0" w:line="171" w:lineRule="exact"/>
        <w:rPr>
          <w:sz w:val="20"/>
          <w:szCs w:val="20"/>
          <w:color w:val="auto"/>
        </w:rPr>
      </w:pPr>
    </w:p>
    <w:p>
      <w:pPr>
        <w:ind w:right="60" w:firstLine="594"/>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Term of Office and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Each director shall hold office until a successor is duly elected and qualified or until the director’s earlier death, resignation, disqualification or removal. Directors shall be natural persons, but need not be stockholders of the Corporation unless otherwise required by the Certificate of Incorporation.</w:t>
      </w:r>
    </w:p>
    <w:p>
      <w:pPr>
        <w:spacing w:after="0" w:line="187" w:lineRule="exact"/>
        <w:rPr>
          <w:sz w:val="20"/>
          <w:szCs w:val="20"/>
          <w:color w:val="auto"/>
        </w:rPr>
      </w:pPr>
    </w:p>
    <w:p>
      <w:pPr>
        <w:ind w:right="80" w:firstLine="594"/>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Vacancies</w:t>
      </w:r>
      <w:r>
        <w:rPr>
          <w:rFonts w:ascii="Arial" w:cs="Arial" w:eastAsia="Arial" w:hAnsi="Arial"/>
          <w:sz w:val="16"/>
          <w:szCs w:val="16"/>
          <w:color w:val="auto"/>
        </w:rPr>
        <w:t>. Unless otherwise provided in the Certificate of Incorporation and subject to the rights of the holders of any series of preferred stock then outstanding,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if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0" w:name="page31"/>
    <w:bookmarkEnd w:id="30"/>
    <w:p>
      <w:pPr>
        <w:ind w:right="20" w:firstLine="594"/>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Resignation</w:t>
      </w:r>
      <w:r>
        <w:rPr>
          <w:rFonts w:ascii="Arial" w:cs="Arial" w:eastAsia="Arial" w:hAnsi="Arial"/>
          <w:sz w:val="16"/>
          <w:szCs w:val="16"/>
          <w:color w:val="auto"/>
        </w:rPr>
        <w:t>. Any director may resign at any time by delivering his or her notice in writing or by electronic transmission to theSecretary, such resignation to specify whether it will be effective at a particular time, upon receipt by the Secretary or at the pleasure of the Board of Directors. If no such specification is made, it shall be deemed effective at the pleasure of the Board of Directors. Verbal resignation shall not be deemed effective until confirmed by the director in writing or by electronic transmission to the Secretary.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66" w:lineRule="exact"/>
        <w:rPr>
          <w:sz w:val="20"/>
          <w:szCs w:val="20"/>
          <w:color w:val="auto"/>
        </w:rPr>
      </w:pPr>
    </w:p>
    <w:p>
      <w:pPr>
        <w:ind w:firstLine="594"/>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Certificate of Incorporation, any director or the entire Board of Directors may be removed, with or without cause, by the affirmative vote of the holders of a majority of the voting power of all of then outstanding shares of capital stock of the Corporation then entitled to vote in the election of directors, voting together as a single class. No reduction of the authorized number of directors shall have the effect of removing any director prior to the expiration of such director’s term of office.</w:t>
      </w:r>
    </w:p>
    <w:p>
      <w:pPr>
        <w:spacing w:after="0" w:line="187"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Meetings</w:t>
      </w:r>
      <w:r>
        <w:rPr>
          <w:rFonts w:ascii="Arial" w:cs="Arial" w:eastAsia="Arial" w:hAnsi="Arial"/>
          <w:sz w:val="16"/>
          <w:szCs w:val="16"/>
          <w:color w:val="auto"/>
        </w:rPr>
        <w:t>.</w:t>
      </w:r>
    </w:p>
    <w:p>
      <w:pPr>
        <w:spacing w:after="0" w:line="225" w:lineRule="exact"/>
        <w:rPr>
          <w:sz w:val="20"/>
          <w:szCs w:val="20"/>
          <w:color w:val="auto"/>
        </w:rPr>
      </w:pPr>
    </w:p>
    <w:p>
      <w:pPr>
        <w:ind w:left="660" w:right="80" w:firstLine="590"/>
        <w:spacing w:after="0" w:line="257" w:lineRule="auto"/>
        <w:tabs>
          <w:tab w:leader="none" w:pos="16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87" w:lineRule="exact"/>
        <w:rPr>
          <w:rFonts w:ascii="Arial" w:cs="Arial" w:eastAsia="Arial" w:hAnsi="Arial"/>
          <w:sz w:val="18"/>
          <w:szCs w:val="18"/>
          <w:color w:val="auto"/>
        </w:rPr>
      </w:pPr>
    </w:p>
    <w:p>
      <w:pPr>
        <w:ind w:left="660" w:right="180" w:firstLine="590"/>
        <w:spacing w:after="0" w:line="263" w:lineRule="auto"/>
        <w:tabs>
          <w:tab w:leader="none" w:pos="16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special meetings of the Board of Directors may be held at any time and place within or without the State of Delaware whenever called by the Chairman of the Board of Directors, the Chief Executive Officer, or a majority of the directors then in office.</w:t>
      </w:r>
    </w:p>
    <w:p>
      <w:pPr>
        <w:spacing w:after="0" w:line="183" w:lineRule="exact"/>
        <w:rPr>
          <w:rFonts w:ascii="Arial" w:cs="Arial" w:eastAsia="Arial" w:hAnsi="Arial"/>
          <w:sz w:val="18"/>
          <w:szCs w:val="18"/>
          <w:color w:val="auto"/>
        </w:rPr>
      </w:pPr>
    </w:p>
    <w:p>
      <w:pPr>
        <w:ind w:left="660" w:right="20" w:firstLine="590"/>
        <w:spacing w:after="0" w:line="263" w:lineRule="auto"/>
        <w:tabs>
          <w:tab w:leader="none" w:pos="16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member of the Board of Directors, or of any committee thereof, may participate in a meeting by means of conference telephone or other communications equipment pursuant to which all persons participating in the meeting can hear each other, and participation in a meeting by such means shall constitute presence in person at such meeting.</w:t>
      </w:r>
    </w:p>
    <w:p>
      <w:pPr>
        <w:spacing w:after="0" w:line="183" w:lineRule="exact"/>
        <w:rPr>
          <w:rFonts w:ascii="Arial" w:cs="Arial" w:eastAsia="Arial" w:hAnsi="Arial"/>
          <w:sz w:val="18"/>
          <w:szCs w:val="18"/>
          <w:color w:val="auto"/>
        </w:rPr>
      </w:pPr>
    </w:p>
    <w:p>
      <w:pPr>
        <w:ind w:left="660" w:right="80" w:firstLine="590"/>
        <w:spacing w:after="0" w:line="289" w:lineRule="auto"/>
        <w:tabs>
          <w:tab w:leader="none" w:pos="16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Notice of the time and place of all special meetings of the Board of Directors shall be given to each director (i) by giving notice to such director in person or by telephone, including a voice messaging system or other system designed to record and communicate messages, during normal business hours, at least twenty-four (24) hours before the meeting, (ii) by sending a telegram or delivering notice by facsimile transmission, by electronic mail or by hand, to such director at his or her last known business or home address, during normal business hours, at least twenty-four (24) hours before the meeting, or (iii) by mailing notice, via first class United States mail, to such director at his or her last known business or home address at least three (3) days in advance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Notice of a special meeting of the Board of Directors need not specify the 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660" w:right="40" w:firstLine="590"/>
        <w:spacing w:after="0" w:line="255" w:lineRule="auto"/>
        <w:tabs>
          <w:tab w:leader="none" w:pos="16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of all business at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Neither the business to be transacted at, nor the purpose of, any regular or special meeting of the Board of Directors need be specified in any written waiver of notice or any waiver by electronic transmission.</w:t>
      </w:r>
    </w:p>
    <w:p>
      <w:pPr>
        <w:spacing w:after="0" w:line="192"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Quorum and Voting</w:t>
      </w:r>
      <w:r>
        <w:rPr>
          <w:rFonts w:ascii="Arial" w:cs="Arial" w:eastAsia="Arial" w:hAnsi="Arial"/>
          <w:sz w:val="16"/>
          <w:szCs w:val="16"/>
          <w:color w:val="auto"/>
        </w:rPr>
        <w:t>.</w:t>
      </w:r>
    </w:p>
    <w:p>
      <w:pPr>
        <w:spacing w:after="0" w:line="225" w:lineRule="exact"/>
        <w:rPr>
          <w:sz w:val="20"/>
          <w:szCs w:val="20"/>
          <w:color w:val="auto"/>
        </w:rPr>
      </w:pPr>
    </w:p>
    <w:p>
      <w:pPr>
        <w:ind w:left="660" w:firstLine="590"/>
        <w:spacing w:after="0" w:line="311" w:lineRule="auto"/>
        <w:tabs>
          <w:tab w:leader="none" w:pos="16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the Certificate of Incorporation requires a greater number, a quorum of the Board of Directors shall consist of a majority of the directors then in office.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48" w:lineRule="exact"/>
        <w:rPr>
          <w:rFonts w:ascii="Arial" w:cs="Arial" w:eastAsia="Arial" w:hAnsi="Arial"/>
          <w:sz w:val="16"/>
          <w:szCs w:val="16"/>
          <w:color w:val="auto"/>
        </w:rPr>
      </w:pPr>
    </w:p>
    <w:p>
      <w:pPr>
        <w:ind w:left="660" w:right="120" w:firstLine="590"/>
        <w:spacing w:after="0" w:line="263" w:lineRule="auto"/>
        <w:tabs>
          <w:tab w:leader="none" w:pos="16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each meeting of the Board of Directors at which a quorum is present, all questions and business shall be determined by the affirmative vote of a majority of the directors present at the meeting, unless a different vote be required by law, the Certificate of Incorporation or these Bylaws.</w:t>
      </w:r>
    </w:p>
    <w:p>
      <w:pPr>
        <w:spacing w:after="0" w:line="184" w:lineRule="exact"/>
        <w:rPr>
          <w:sz w:val="20"/>
          <w:szCs w:val="20"/>
          <w:color w:val="auto"/>
        </w:rPr>
      </w:pPr>
    </w:p>
    <w:p>
      <w:pPr>
        <w:ind w:firstLine="594"/>
        <w:spacing w:after="0" w:line="25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196" w:lineRule="exact"/>
        <w:rPr>
          <w:sz w:val="20"/>
          <w:szCs w:val="20"/>
          <w:color w:val="auto"/>
        </w:rPr>
      </w:pPr>
    </w:p>
    <w:p>
      <w:pPr>
        <w:ind w:right="40" w:firstLine="594"/>
        <w:spacing w:after="0" w:line="25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Fees and Compensation</w:t>
      </w:r>
      <w:r>
        <w:rPr>
          <w:rFonts w:ascii="Arial" w:cs="Arial" w:eastAsia="Arial" w:hAnsi="Arial"/>
          <w:sz w:val="18"/>
          <w:szCs w:val="18"/>
          <w:color w:val="auto"/>
        </w:rPr>
        <w:t>. Directors shall be entitled to such compensation for their services as may be approved by the Board of Directors, or any committee thereof, including, if so approved by resolution of the Board of Directors or such committee,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8"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6"/>
          <w:szCs w:val="16"/>
          <w:color w:val="auto"/>
        </w:rPr>
        <w:t>.</w:t>
      </w:r>
    </w:p>
    <w:p>
      <w:pPr>
        <w:spacing w:after="0" w:line="225" w:lineRule="exact"/>
        <w:rPr>
          <w:sz w:val="20"/>
          <w:szCs w:val="20"/>
          <w:color w:val="auto"/>
        </w:rPr>
      </w:pPr>
    </w:p>
    <w:p>
      <w:pPr>
        <w:ind w:left="600" w:right="120" w:firstLine="650"/>
        <w:spacing w:after="0" w:line="287" w:lineRule="auto"/>
        <w:tabs>
          <w:tab w:leader="none" w:pos="1673"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such committees as may be permitted by law. Such committees appointed by the Board of Directors shall consist of one (1) or more members of the Board of Directors and shall have such powers and perform such duties as may be prescribed by the resolution or resolutions creating such committees, but no committee shall have the power or authority in reference to</w:t>
      </w:r>
    </w:p>
    <w:p>
      <w:pPr>
        <w:spacing w:after="0" w:line="2" w:lineRule="exact"/>
        <w:rPr>
          <w:rFonts w:ascii="Arial" w:cs="Arial" w:eastAsia="Arial" w:hAnsi="Arial"/>
          <w:sz w:val="16"/>
          <w:szCs w:val="16"/>
          <w:color w:val="auto"/>
        </w:rPr>
      </w:pPr>
    </w:p>
    <w:p>
      <w:pPr>
        <w:ind w:left="600" w:right="780" w:firstLine="2"/>
        <w:spacing w:after="0" w:line="260"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provision of these Bylaws.</w:t>
      </w:r>
    </w:p>
    <w:p>
      <w:pPr>
        <w:spacing w:after="0" w:line="185" w:lineRule="exact"/>
        <w:rPr>
          <w:rFonts w:ascii="Arial" w:cs="Arial" w:eastAsia="Arial" w:hAnsi="Arial"/>
          <w:sz w:val="18"/>
          <w:szCs w:val="18"/>
          <w:color w:val="auto"/>
        </w:rPr>
      </w:pPr>
    </w:p>
    <w:p>
      <w:pPr>
        <w:ind w:left="1680" w:hanging="430"/>
        <w:spacing w:after="0"/>
        <w:tabs>
          <w:tab w:leader="none" w:pos="1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Board of Directors, subject to any requirements of any outstanding series of preferred stock and the provisions of subsections</w:t>
      </w:r>
    </w:p>
    <w:p>
      <w:pPr>
        <w:spacing w:after="0" w:line="46" w:lineRule="exact"/>
        <w:rPr>
          <w:rFonts w:ascii="Arial" w:cs="Arial" w:eastAsia="Arial" w:hAnsi="Arial"/>
          <w:sz w:val="16"/>
          <w:szCs w:val="16"/>
          <w:color w:val="auto"/>
        </w:rPr>
      </w:pPr>
    </w:p>
    <w:p>
      <w:pPr>
        <w:ind w:left="600" w:right="80" w:firstLine="2"/>
        <w:spacing w:after="0" w:line="287" w:lineRule="auto"/>
        <w:tabs>
          <w:tab w:leader="none" w:pos="8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and (b) of this Section 3.10,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600" w:right="40" w:firstLine="650"/>
        <w:spacing w:after="0" w:line="287" w:lineRule="auto"/>
        <w:tabs>
          <w:tab w:leader="none" w:pos="16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Unless the Board of Directors shall otherwise provide, regular meetings of any committee appointed pursuant to this Section 3.10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members of any such committee shall constitute a quorum for the transaction of business, and the act of a majority of those present at any meeting at which a quorum is present shall be the act of such committee.</w:t>
      </w:r>
    </w:p>
    <w:p>
      <w:pPr>
        <w:spacing w:after="0" w:line="172" w:lineRule="exact"/>
        <w:rPr>
          <w:sz w:val="20"/>
          <w:szCs w:val="20"/>
          <w:color w:val="auto"/>
        </w:rPr>
      </w:pPr>
    </w:p>
    <w:p>
      <w:pPr>
        <w:ind w:firstLine="594"/>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Organization</w:t>
      </w:r>
      <w:r>
        <w:rPr>
          <w:rFonts w:ascii="Arial" w:cs="Arial" w:eastAsia="Arial" w:hAnsi="Arial"/>
          <w:sz w:val="18"/>
          <w:szCs w:val="18"/>
          <w:color w:val="auto"/>
        </w:rPr>
        <w:t>. At every meeting of the directors, the Chairman of the Board of Directors, or, if a Chairman of the Board of Directors has not been appointed or is absent, the Vice Chairman of the Board of Directors, or if a Vice Chairman of the Board of Directors has not been appointed or is absent, the Chief Executive Officer (if a director), or if the Chief Executive Officer is absent, or, in the absence of any such person, a chairman of the meeting chosen by a majority of the directors present, shall preside over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40" w:firstLine="594"/>
        <w:spacing w:after="0" w:line="27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Positions; Election and Qualification</w:t>
      </w:r>
      <w:r>
        <w:rPr>
          <w:rFonts w:ascii="Arial" w:cs="Arial" w:eastAsia="Arial" w:hAnsi="Arial"/>
          <w:sz w:val="17"/>
          <w:szCs w:val="17"/>
          <w:color w:val="auto"/>
        </w:rPr>
        <w:t>. The officers of the Corporation shall be elected annually by the Board of Directors and shall include a President or Chief Executive Officer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a Chief Financial Officer, a Treasurer and a Secretary. The Board of Directors, in its discretion, may also elect a Chairman (who must be a director), one or more Vice Chairmen (who must be directors) and one or more Vice Presidents, Assistant Treasurers, Assistant Secretaries and other officers. The Board of Directors may assign such additional titles to one or more of the officers as it shall deem appropriate. Any two or more offices may be held by the same person. No officer need be a stockholder.</w:t>
      </w:r>
    </w:p>
    <w:p>
      <w:pPr>
        <w:spacing w:after="0" w:line="176" w:lineRule="exact"/>
        <w:rPr>
          <w:sz w:val="20"/>
          <w:szCs w:val="20"/>
          <w:color w:val="auto"/>
        </w:rPr>
      </w:pPr>
    </w:p>
    <w:p>
      <w:pPr>
        <w:ind w:right="100" w:firstLine="594"/>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w:t>
      </w:r>
      <w:r>
        <w:rPr>
          <w:rFonts w:ascii="Arial" w:cs="Arial" w:eastAsia="Arial" w:hAnsi="Arial"/>
          <w:sz w:val="18"/>
          <w:szCs w:val="18"/>
          <w:color w:val="auto"/>
        </w:rPr>
        <w:t>. Each officer of the Corporation shall hold office at the pleasure of the Board of Directors and until such officer’s successor is elected and qualified or until such officer’s earlier death, resignation or removal, subject to the rights, if any, of an officer under contract of employment. If the office of any officer becomes vacant for any reason, the vacancy may be filled by the Board of Directors. The election or appointment of an officer shall not of itself create contract rights</w:t>
      </w:r>
    </w:p>
    <w:p>
      <w:pPr>
        <w:spacing w:after="0" w:line="187"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5" w:lineRule="exact"/>
        <w:rPr>
          <w:sz w:val="20"/>
          <w:szCs w:val="20"/>
          <w:color w:val="auto"/>
        </w:rPr>
      </w:pPr>
    </w:p>
    <w:p>
      <w:pPr>
        <w:ind w:left="660" w:right="320" w:firstLine="590"/>
        <w:spacing w:after="0" w:line="263" w:lineRule="auto"/>
        <w:tabs>
          <w:tab w:leader="none" w:pos="16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Chairman of the Board of Directors shall, if present, preside at meetings of the Board of Directors and stockholders and exercise and perform such other powers and duties as may from time to time be assigned to him or her by the Board of Directors or as may be prescribed by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3" w:name="page34"/>
    <w:bookmarkEnd w:id="33"/>
    <w:p>
      <w:pPr>
        <w:ind w:firstLine="590"/>
        <w:spacing w:after="0" w:line="257" w:lineRule="auto"/>
        <w:tabs>
          <w:tab w:leader="none" w:pos="10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such supervisory powers, if any, as the Board of Directors may give to the Chairman of the Board of Directors, the Chief Executive Officer shall, subject to the control of the Board of Directors, have general supervision, direction and control of the business and affairs of the Corporation and shall report directly to the Board of Directors. All other officers, officials, employees and agents shall report directly or indirectly to the Chief Executive Officer. The Chief Executive Officer shall see that all orders and resolutions of the Board of Directors are carried into effect.</w:t>
      </w:r>
    </w:p>
    <w:p>
      <w:pPr>
        <w:spacing w:after="0" w:line="187" w:lineRule="exact"/>
        <w:rPr>
          <w:rFonts w:ascii="Arial" w:cs="Arial" w:eastAsia="Arial" w:hAnsi="Arial"/>
          <w:sz w:val="18"/>
          <w:szCs w:val="18"/>
          <w:color w:val="auto"/>
        </w:rPr>
      </w:pPr>
    </w:p>
    <w:p>
      <w:pPr>
        <w:ind w:right="80" w:firstLine="590"/>
        <w:spacing w:after="0" w:line="293" w:lineRule="auto"/>
        <w:tabs>
          <w:tab w:leader="none" w:pos="10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absence or disability of the Chief Executive Officer, the Vice President(s), if any, in order of their rank as fixed by the Board of Directors or, if not ranked, a Vice President designated by the Board of Directors, shall perform all the duties of the Chief Executive Officer and, when so acting, shall have all the powers of, and be subject to all the restrictions upon, the Chief Executive Officer. The Vice President(s) shall have such other powers and perform such other duties as form time to time may be prescribed for them respectively by the Board of Directors, these Bylaws, the Chairman of the Board of Directors, the Chief Executive Officer. The Board of Directors may designate one or more Executive Vice Presidents or Senior Vice Presidents or may otherwise specify the order of seniority of the Vice Presidents.</w:t>
      </w:r>
    </w:p>
    <w:p>
      <w:pPr>
        <w:spacing w:after="0" w:line="164" w:lineRule="exact"/>
        <w:rPr>
          <w:rFonts w:ascii="Arial" w:cs="Arial" w:eastAsia="Arial" w:hAnsi="Arial"/>
          <w:sz w:val="16"/>
          <w:szCs w:val="16"/>
          <w:color w:val="auto"/>
        </w:rPr>
      </w:pPr>
    </w:p>
    <w:p>
      <w:pPr>
        <w:ind w:right="60" w:firstLine="590"/>
        <w:spacing w:after="0" w:line="290" w:lineRule="auto"/>
        <w:tabs>
          <w:tab w:leader="none" w:pos="10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and retained earnings. The Chief Financial Officer shall deposit all money and other valuables in the name and to the credit of the Corporation with such depositaries as may be designated by the Board of Directors or Chief Executive Officer. The Chief Financial Officer shall disburse the funds of the Corporation as may be ordered by the Board of Directors, shall render to the Board of Directors and Chief Executive Officer, whenever they request, an account of all of his or her transactions as Chief Financial Officer and of the financial condition of the Corporation, and shall have such other powers and perform such other duties as may be prescribed by the Board of Directors or these Bylaws. In lieu of any contrary resolution duly adopted by the Board of Directors, the Chief Financial Officer shall also be the Treasurer of the Corporation.</w:t>
      </w:r>
    </w:p>
    <w:p>
      <w:pPr>
        <w:spacing w:after="0" w:line="165" w:lineRule="exact"/>
        <w:rPr>
          <w:rFonts w:ascii="Arial" w:cs="Arial" w:eastAsia="Arial" w:hAnsi="Arial"/>
          <w:sz w:val="16"/>
          <w:szCs w:val="16"/>
          <w:color w:val="auto"/>
        </w:rPr>
      </w:pPr>
    </w:p>
    <w:p>
      <w:pPr>
        <w:ind w:right="20" w:firstLine="590"/>
        <w:spacing w:after="0" w:line="257" w:lineRule="auto"/>
        <w:tabs>
          <w:tab w:leader="none" w:pos="10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w:t>
      </w:r>
    </w:p>
    <w:p>
      <w:pPr>
        <w:spacing w:after="0" w:line="188" w:lineRule="exact"/>
        <w:rPr>
          <w:sz w:val="20"/>
          <w:szCs w:val="20"/>
          <w:color w:val="auto"/>
        </w:rPr>
      </w:pPr>
    </w:p>
    <w:p>
      <w:pPr>
        <w:ind w:right="400" w:firstLine="1296"/>
        <w:spacing w:after="0" w:line="301" w:lineRule="auto"/>
        <w:rPr>
          <w:sz w:val="20"/>
          <w:szCs w:val="20"/>
          <w:color w:val="auto"/>
        </w:rPr>
      </w:pPr>
      <w:r>
        <w:rPr>
          <w:rFonts w:ascii="Arial" w:cs="Arial" w:eastAsia="Arial" w:hAnsi="Arial"/>
          <w:sz w:val="16"/>
          <w:szCs w:val="16"/>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57"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The Secretary shall give, or cause to be given, notice of all meetings of the stockholders, the Board of Directors and any committee(s) of the Board of Directors, required to be given by law or by these Bylaws. The Secretary shall keep the seal of the Corporation, if one be adopted, in safe custody and shall have such other powers and perform such other duties as may be prescribed by the Board of Directors or by these Bylaws.</w:t>
      </w:r>
    </w:p>
    <w:p>
      <w:pPr>
        <w:spacing w:after="0" w:line="187" w:lineRule="exact"/>
        <w:rPr>
          <w:sz w:val="20"/>
          <w:szCs w:val="20"/>
          <w:color w:val="auto"/>
        </w:rPr>
      </w:pPr>
    </w:p>
    <w:p>
      <w:pPr>
        <w:ind w:right="120" w:firstLine="590"/>
        <w:spacing w:after="0" w:line="263" w:lineRule="auto"/>
        <w:tabs>
          <w:tab w:leader="none" w:pos="9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Vice Chairman of the Board, if any, shall, in the absence of the Chairman of the Board, or in the event of his or her inability or refusal to act, perform the duties and exercise the powers of the Chairman of the Board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34" w:name="page35"/>
    <w:bookmarkEnd w:id="34"/>
    <w:p>
      <w:pPr>
        <w:ind w:left="660" w:right="80" w:firstLine="590"/>
        <w:spacing w:after="0" w:line="259" w:lineRule="auto"/>
        <w:tabs>
          <w:tab w:leader="none" w:pos="16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Assistant Secretary(ies), if any,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186" w:lineRule="exact"/>
        <w:rPr>
          <w:rFonts w:ascii="Arial" w:cs="Arial" w:eastAsia="Arial" w:hAnsi="Arial"/>
          <w:sz w:val="18"/>
          <w:szCs w:val="18"/>
          <w:color w:val="auto"/>
        </w:rPr>
      </w:pPr>
    </w:p>
    <w:p>
      <w:pPr>
        <w:jc w:val="both"/>
        <w:ind w:left="660" w:right="180" w:firstLine="590"/>
        <w:spacing w:after="0" w:line="259" w:lineRule="auto"/>
        <w:tabs>
          <w:tab w:leader="none" w:pos="16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Assistant Treasurer(s), if any, in the order determined by the Board of Directors (or if there be no such determination, then in the order of their election), shall, in the absence of the Chief Financial Officer or in the event of his or her inability or refusal to act, perform the duties and exercise the powers of the Chief Financial Officer and shall perform such other duties and have such other powers as the Board of Directors may from time to time prescribe.</w:t>
      </w:r>
    </w:p>
    <w:p>
      <w:pPr>
        <w:spacing w:after="0" w:line="187" w:lineRule="exact"/>
        <w:rPr>
          <w:sz w:val="20"/>
          <w:szCs w:val="20"/>
          <w:color w:val="auto"/>
        </w:rPr>
      </w:pPr>
    </w:p>
    <w:p>
      <w:pPr>
        <w:ind w:right="200" w:firstLine="594"/>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ind w:right="20" w:firstLine="594"/>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Resignations</w:t>
      </w:r>
      <w:r>
        <w:rPr>
          <w:rFonts w:ascii="Arial" w:cs="Arial" w:eastAsia="Arial" w:hAnsi="Arial"/>
          <w:sz w:val="17"/>
          <w:szCs w:val="17"/>
          <w:color w:val="auto"/>
        </w:rPr>
        <w:t>. Any officer may resign at any time by giving notice in writing or by electronic transmission to the Chairman of the Board, or to the Chief Executive Officer or to the Secretary. Verbal resignation shall not be deemed effective until confirmed by the officer in writing or by electronic transmission to the Chairman of the Board, Chief Executive Officer or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8" w:lineRule="exact"/>
        <w:rPr>
          <w:sz w:val="20"/>
          <w:szCs w:val="20"/>
          <w:color w:val="auto"/>
        </w:rPr>
      </w:pPr>
    </w:p>
    <w:p>
      <w:pPr>
        <w:ind w:right="140" w:firstLine="594"/>
        <w:spacing w:after="0" w:line="31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 officer under contract of employment, any officer may be removed from office at any time, either with or without cause, by the affirmative vote of a majority of the directors in office at the time, or by the unanimous written consent of the directors in office at the time, or by any committee or superior officers upon whom such power of removal may have been conferred by the Board of Directors.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11" w:lineRule="exact"/>
        <w:rPr>
          <w:sz w:val="20"/>
          <w:szCs w:val="20"/>
          <w:color w:val="auto"/>
        </w:rPr>
      </w:pPr>
    </w:p>
    <w:p>
      <w:pPr>
        <w:ind w:firstLine="594"/>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Execution of Corporate Instruments</w:t>
      </w:r>
      <w:r>
        <w:rPr>
          <w:rFonts w:ascii="Arial" w:cs="Arial" w:eastAsia="Arial" w:hAnsi="Arial"/>
          <w:sz w:val="18"/>
          <w:szCs w:val="18"/>
          <w:color w:val="auto"/>
        </w:rPr>
        <w:t>.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4" w:lineRule="exact"/>
        <w:rPr>
          <w:sz w:val="20"/>
          <w:szCs w:val="20"/>
          <w:color w:val="auto"/>
        </w:rPr>
      </w:pPr>
    </w:p>
    <w:p>
      <w:pPr>
        <w:ind w:firstLine="594"/>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Voting of Securities Owned by the Corporation</w:t>
      </w:r>
      <w:r>
        <w:rPr>
          <w:rFonts w:ascii="Arial" w:cs="Arial" w:eastAsia="Arial" w:hAnsi="Arial"/>
          <w:sz w:val="18"/>
          <w:szCs w:val="18"/>
          <w:color w:val="auto"/>
        </w:rPr>
        <w:t>.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or any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11" w:lineRule="exact"/>
        <w:rPr>
          <w:sz w:val="20"/>
          <w:szCs w:val="20"/>
          <w:color w:val="auto"/>
        </w:rPr>
      </w:pPr>
    </w:p>
    <w:p>
      <w:pPr>
        <w:ind w:firstLine="594"/>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 and Execution of Certificates</w:t>
      </w:r>
      <w:r>
        <w:rPr>
          <w:rFonts w:ascii="Arial" w:cs="Arial" w:eastAsia="Arial" w:hAnsi="Arial"/>
          <w:sz w:val="18"/>
          <w:szCs w:val="18"/>
          <w:color w:val="auto"/>
        </w:rPr>
        <w:t>. Shares of stock of the Corporation shall be represented by certificates, or shall be uncertificated. Certificates for the shares of stock of the Corporation, if any, shall be in such form as is consistent with the Certificate of Incorporation and applicable law. Every holder of stock represented by certificate shall be entitled to have a certificate signed by or in the name of the Corporation by the Chairman of the Board of Directors, or the Chief Executive Officer or any Vice President and by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or she were such officer, transfer agent, or registrar at the date of issue.</w:t>
      </w:r>
    </w:p>
    <w:p>
      <w:pPr>
        <w:spacing w:after="0" w:line="192" w:lineRule="exact"/>
        <w:rPr>
          <w:sz w:val="20"/>
          <w:szCs w:val="20"/>
          <w:color w:val="auto"/>
        </w:rPr>
      </w:pPr>
    </w:p>
    <w:p>
      <w:pPr>
        <w:ind w:right="80" w:firstLine="594"/>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Transfers of Stock</w:t>
      </w:r>
      <w:r>
        <w:rPr>
          <w:rFonts w:ascii="Arial" w:cs="Arial" w:eastAsia="Arial" w:hAnsi="Arial"/>
          <w:sz w:val="18"/>
          <w:szCs w:val="18"/>
          <w:color w:val="auto"/>
        </w:rPr>
        <w:t>.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To the extent designated by the Chief Executive Officer or any Vice President or the Treasurer of the Corporation, the Corporation may recognize the transfer of fractional uncertificated shares, but shall not otherwise be required to recognize the transfer of fractional shares.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95" w:lineRule="exact"/>
        <w:rPr>
          <w:sz w:val="20"/>
          <w:szCs w:val="20"/>
          <w:color w:val="auto"/>
        </w:rPr>
      </w:pPr>
    </w:p>
    <w:p>
      <w:pPr>
        <w:ind w:right="340" w:firstLine="594"/>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Transfer Agents and Registrars</w:t>
      </w:r>
      <w:r>
        <w:rPr>
          <w:rFonts w:ascii="Arial" w:cs="Arial" w:eastAsia="Arial" w:hAnsi="Arial"/>
          <w:sz w:val="18"/>
          <w:szCs w:val="18"/>
          <w:color w:val="auto"/>
        </w:rPr>
        <w:t>. The Board of Directors may appoint, or authorize any officer or officers to appoint, one or more transfer agents and one or more registrars.</w:t>
      </w:r>
    </w:p>
    <w:p>
      <w:pPr>
        <w:spacing w:after="0" w:line="170" w:lineRule="exact"/>
        <w:rPr>
          <w:sz w:val="20"/>
          <w:szCs w:val="20"/>
          <w:color w:val="auto"/>
        </w:rPr>
      </w:pPr>
    </w:p>
    <w:p>
      <w:pPr>
        <w:ind w:right="20" w:firstLine="594"/>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A new certificate or certificates or uncertificated shares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or uncertificated shares,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64"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Fixing Record Dates</w:t>
      </w:r>
      <w:r>
        <w:rPr>
          <w:rFonts w:ascii="Arial" w:cs="Arial" w:eastAsia="Arial" w:hAnsi="Arial"/>
          <w:sz w:val="16"/>
          <w:szCs w:val="16"/>
          <w:color w:val="auto"/>
        </w:rPr>
        <w:t>.</w:t>
      </w:r>
    </w:p>
    <w:p>
      <w:pPr>
        <w:spacing w:after="0" w:line="225" w:lineRule="exact"/>
        <w:rPr>
          <w:sz w:val="20"/>
          <w:szCs w:val="20"/>
          <w:color w:val="auto"/>
        </w:rPr>
      </w:pPr>
    </w:p>
    <w:p>
      <w:pPr>
        <w:ind w:left="600" w:firstLine="650"/>
        <w:spacing w:after="0" w:line="287" w:lineRule="auto"/>
        <w:tabs>
          <w:tab w:leader="none" w:pos="16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therewith at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left="600" w:right="80" w:firstLine="650"/>
        <w:spacing w:after="0" w:line="288" w:lineRule="auto"/>
        <w:tabs>
          <w:tab w:leader="none" w:pos="16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(i) when no prior action by the Board of Directors is required by law, the record date for such purpose shall be the first date on which a signed written consent setting forth the action taken or proposed to be taken is delivered to the Corporation by delivery (by hand, or by certified or registered mail, return receipt requested) to its registered office in the State of Delaware, its principal place of business, or an officer or agent of the Corporation having custody of the book in which proceedings of meetings of the stockholders are recorded and (ii) if prior action by the Board of Directors is required by law, the record date for such purpose shall be at the close of business on the day on which the Board of Directors adopts the resolution taking such prior action.</w:t>
      </w:r>
    </w:p>
    <w:p>
      <w:pPr>
        <w:spacing w:after="0" w:line="168" w:lineRule="exact"/>
        <w:rPr>
          <w:rFonts w:ascii="Arial" w:cs="Arial" w:eastAsia="Arial" w:hAnsi="Arial"/>
          <w:sz w:val="16"/>
          <w:szCs w:val="16"/>
          <w:color w:val="auto"/>
        </w:rPr>
      </w:pPr>
    </w:p>
    <w:p>
      <w:pPr>
        <w:ind w:left="600" w:right="20" w:firstLine="650"/>
        <w:spacing w:after="0" w:line="255" w:lineRule="auto"/>
        <w:tabs>
          <w:tab w:leader="none" w:pos="16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2" w:lineRule="exact"/>
        <w:rPr>
          <w:sz w:val="20"/>
          <w:szCs w:val="20"/>
          <w:color w:val="auto"/>
        </w:rPr>
      </w:pPr>
    </w:p>
    <w:p>
      <w:pPr>
        <w:jc w:val="both"/>
        <w:ind w:firstLine="594"/>
        <w:spacing w:after="0" w:line="31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applicable law.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11" w:lineRule="exact"/>
        <w:rPr>
          <w:sz w:val="20"/>
          <w:szCs w:val="20"/>
          <w:color w:val="auto"/>
        </w:rPr>
      </w:pPr>
    </w:p>
    <w:p>
      <w:pPr>
        <w:ind w:right="40" w:firstLine="594"/>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Execution of Other Securities</w:t>
      </w:r>
      <w:r>
        <w:rPr>
          <w:rFonts w:ascii="Arial" w:cs="Arial" w:eastAsia="Arial" w:hAnsi="Arial"/>
          <w:sz w:val="16"/>
          <w:szCs w:val="16"/>
          <w:color w:val="auto"/>
        </w:rPr>
        <w:t>. All bonds, debentures and other corporate securities of the Corporation, other than stock certificates (covered in Section 6.1), may be signed by the Chairman of the Board of Directors, the Chief Executive Officer, the President or any Vice President, or such other person as may be authorized by the Board of Directors, and the corporate seal, if any, may be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if applicable,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right="160" w:firstLine="594"/>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Declaration of Dividends</w:t>
      </w:r>
      <w:r>
        <w:rPr>
          <w:rFonts w:ascii="Arial" w:cs="Arial" w:eastAsia="Arial" w:hAnsi="Arial"/>
          <w:sz w:val="17"/>
          <w:szCs w:val="17"/>
          <w:color w:val="auto"/>
        </w:rPr>
        <w:t>.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140" w:firstLine="594"/>
        <w:spacing w:after="0" w:line="30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Dividend 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from time to time by resolution of the Board of Directors.</w:t>
      </w:r>
    </w:p>
    <w:p>
      <w:pPr>
        <w:spacing w:after="0" w:line="225" w:lineRule="exact"/>
        <w:rPr>
          <w:sz w:val="20"/>
          <w:szCs w:val="20"/>
          <w:color w:val="auto"/>
        </w:rPr>
      </w:pPr>
    </w:p>
    <w:p>
      <w:pPr>
        <w:ind w:right="540" w:firstLine="594"/>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but need not, have a corporate seal. In the event the Corporation has a seal, the seal need not be affixed for any contract, resolution or other document executed by or on behalf of the Corporation to be valid and duly authorized.</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600" w:right="40" w:firstLine="650"/>
        <w:spacing w:after="0" w:line="279" w:lineRule="auto"/>
        <w:tabs>
          <w:tab w:leader="none" w:pos="16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Written notice to stockholders of stockholder meetings shall be given as provided in Section 2.4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71" w:lineRule="exact"/>
        <w:rPr>
          <w:rFonts w:ascii="Arial" w:cs="Arial" w:eastAsia="Arial" w:hAnsi="Arial"/>
          <w:sz w:val="17"/>
          <w:szCs w:val="17"/>
          <w:color w:val="auto"/>
        </w:rPr>
      </w:pPr>
    </w:p>
    <w:p>
      <w:pPr>
        <w:ind w:left="600" w:firstLine="650"/>
        <w:spacing w:after="0" w:line="308" w:lineRule="auto"/>
        <w:tabs>
          <w:tab w:leader="none" w:pos="17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Notice to directors of special meetings shall be given as provided in Section 3.7(d) herein. Subject to the preceding sentence and except as expressly stated otherwise herein, notice may otherwise be given by the methods stated in subsection (a) above.</w:t>
      </w:r>
    </w:p>
    <w:p>
      <w:pPr>
        <w:spacing w:after="0" w:line="146" w:lineRule="exact"/>
        <w:rPr>
          <w:rFonts w:ascii="Arial" w:cs="Arial" w:eastAsia="Arial" w:hAnsi="Arial"/>
          <w:sz w:val="17"/>
          <w:szCs w:val="17"/>
          <w:color w:val="auto"/>
        </w:rPr>
      </w:pPr>
    </w:p>
    <w:p>
      <w:pPr>
        <w:jc w:val="both"/>
        <w:ind w:left="600" w:firstLine="650"/>
        <w:spacing w:after="0" w:line="259" w:lineRule="auto"/>
        <w:tabs>
          <w:tab w:leader="none" w:pos="17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6" w:lineRule="exact"/>
        <w:rPr>
          <w:rFonts w:ascii="Arial" w:cs="Arial" w:eastAsia="Arial" w:hAnsi="Arial"/>
          <w:sz w:val="18"/>
          <w:szCs w:val="18"/>
          <w:color w:val="auto"/>
        </w:rPr>
      </w:pPr>
    </w:p>
    <w:p>
      <w:pPr>
        <w:ind w:left="600" w:right="20" w:firstLine="650"/>
        <w:spacing w:after="0" w:line="263" w:lineRule="auto"/>
        <w:tabs>
          <w:tab w:leader="none" w:pos="16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shall not be necessary that the same method of giving notice be employed in respect of all recipients of notice, but one permissible method may be employed in respect of any one or more recipients, and any other permissible method or methods may be employed in respect of any other or others.</w:t>
      </w:r>
    </w:p>
    <w:p>
      <w:pPr>
        <w:spacing w:after="0" w:line="183" w:lineRule="exact"/>
        <w:rPr>
          <w:rFonts w:ascii="Arial" w:cs="Arial" w:eastAsia="Arial" w:hAnsi="Arial"/>
          <w:sz w:val="18"/>
          <w:szCs w:val="18"/>
          <w:color w:val="auto"/>
        </w:rPr>
      </w:pPr>
    </w:p>
    <w:p>
      <w:pPr>
        <w:ind w:left="600" w:right="20" w:firstLine="650"/>
        <w:spacing w:after="0" w:line="254" w:lineRule="auto"/>
        <w:tabs>
          <w:tab w:leader="none" w:pos="16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Whenever notice is required to be given, under any provision of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left="600" w:right="20" w:firstLine="650"/>
        <w:spacing w:after="0" w:line="269" w:lineRule="auto"/>
        <w:tabs>
          <w:tab w:leader="none" w:pos="16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Whenever notice is required to be given, under any provision of the DGCL, the Certificate of Incorporation or these Bylaws, to any stockholder to whom (i) notice of two (2) consecutive annual meetings, or (ii) all, and at least two (2), payments (if sent by first-class mail) of dividends or interest on securities during a twelve (12) month period, have been mailed addressed to such person at such person’s address as shown on the records of the Corporation and have been returned undeliverable, the giving of such notice to such person shall not be required. Any actions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 In the event that the action taken by the Corporation is such as to require the filing of a certificate under any provision of the DGCL, the certificate need not state that the Corporation did not give notice to persons not required to be given notice pursuant to Section 230(b) of the DGCL. The exception in clause (i) above to the requirement that notice be given shall not be applicable to any notice returned as undeliverable if the notice was given by electronic transmission.</w:t>
      </w:r>
    </w:p>
    <w:p>
      <w:pPr>
        <w:spacing w:after="0" w:line="185" w:lineRule="exact"/>
        <w:rPr>
          <w:rFonts w:ascii="Arial" w:cs="Arial" w:eastAsia="Arial" w:hAnsi="Arial"/>
          <w:sz w:val="17"/>
          <w:szCs w:val="17"/>
          <w:color w:val="auto"/>
        </w:rPr>
      </w:pPr>
    </w:p>
    <w:p>
      <w:pPr>
        <w:ind w:left="600" w:right="240" w:firstLine="650"/>
        <w:spacing w:after="0" w:line="257" w:lineRule="auto"/>
        <w:tabs>
          <w:tab w:leader="none" w:pos="16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otherwise prohibited under the DGCL, any notice given under the provisions of the DGCL, the Certificate of Incorporation or these Bylaws shall be effective if given by a single written notice to stockholders who share an address if consented to by the stockholders at that address to whom such notice is given. Such consent shall be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87" w:lineRule="exact"/>
        <w:rPr>
          <w:rFonts w:ascii="Arial" w:cs="Arial" w:eastAsia="Arial" w:hAnsi="Arial"/>
          <w:sz w:val="18"/>
          <w:szCs w:val="18"/>
          <w:color w:val="auto"/>
        </w:rPr>
      </w:pPr>
    </w:p>
    <w:p>
      <w:pPr>
        <w:ind w:left="600" w:right="20" w:firstLine="650"/>
        <w:spacing w:after="0" w:line="272" w:lineRule="auto"/>
        <w:tabs>
          <w:tab w:leader="none" w:pos="1683"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previously consented to by the stockholder to whom the notice is given. Any such consent shall be revocable by the stockholder by written notice to the Corporation. Any such consent shall be deemed revoked if (i) the Corporation is unable to deliver by electronic transmission two (2) consecutive notices given by the Corporation in accordance with such consent, and (ii) such inability becomes known to the Secretary or an Assistant Secretary of the Corporation, the transfer agent or other person responsible for the giving of notice; provided, however, the inadvertent failure to treat such inability as a revocation shall not invalidate any meeting or other action.</w:t>
      </w:r>
    </w:p>
    <w:p>
      <w:pPr>
        <w:spacing w:after="0" w:line="177" w:lineRule="exact"/>
        <w:rPr>
          <w:sz w:val="20"/>
          <w:szCs w:val="20"/>
          <w:color w:val="auto"/>
        </w:rPr>
      </w:pPr>
    </w:p>
    <w:p>
      <w:pPr>
        <w:ind w:left="600"/>
        <w:spacing w:after="0" w:line="293" w:lineRule="auto"/>
        <w:rPr>
          <w:sz w:val="20"/>
          <w:szCs w:val="20"/>
          <w:color w:val="auto"/>
        </w:rPr>
      </w:pPr>
      <w:r>
        <w:rPr>
          <w:rFonts w:ascii="Arial" w:cs="Arial" w:eastAsia="Arial" w:hAnsi="Arial"/>
          <w:sz w:val="16"/>
          <w:szCs w:val="16"/>
          <w:color w:val="auto"/>
        </w:rPr>
        <w:t>Notice given pursuant to the above paragraph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a separate notice to the stockholder of such specific posting, upon the later of (A) such posting and (B) the giving of such separate notice, and (iv) if by any other form of electronic transmission, when directed to the stockholder. An affidavit of the Secretary or Assistant Secretary, the transfer agent or other agent of the Corporation that the notice has been given by a form of electronic transmission shall in the absence of fraud, be prima facie evidence of the facts stated therein.</w:t>
      </w:r>
    </w:p>
    <w:p>
      <w:pPr>
        <w:spacing w:after="0" w:line="164" w:lineRule="exact"/>
        <w:rPr>
          <w:sz w:val="20"/>
          <w:szCs w:val="20"/>
          <w:color w:val="auto"/>
        </w:rPr>
      </w:pPr>
    </w:p>
    <w:p>
      <w:pPr>
        <w:ind w:left="600" w:right="140"/>
        <w:spacing w:after="0" w:line="275" w:lineRule="auto"/>
        <w:rPr>
          <w:sz w:val="20"/>
          <w:szCs w:val="20"/>
          <w:color w:val="auto"/>
        </w:rPr>
      </w:pPr>
      <w:r>
        <w:rPr>
          <w:rFonts w:ascii="Arial" w:cs="Arial" w:eastAsia="Arial" w:hAnsi="Arial"/>
          <w:sz w:val="17"/>
          <w:szCs w:val="17"/>
          <w:color w:val="auto"/>
        </w:rPr>
        <w:t>For purposes of these Bylaws, “</w:t>
      </w:r>
      <w:r>
        <w:rPr>
          <w:rFonts w:ascii="Arial" w:cs="Arial" w:eastAsia="Arial" w:hAnsi="Arial"/>
          <w:sz w:val="17"/>
          <w:szCs w:val="17"/>
          <w:u w:val="single" w:color="auto"/>
          <w:color w:val="auto"/>
        </w:rPr>
        <w:t>electronic transmission</w:t>
      </w:r>
      <w:r>
        <w:rPr>
          <w:rFonts w:ascii="Arial" w:cs="Arial" w:eastAsia="Arial" w:hAnsi="Arial"/>
          <w:sz w:val="17"/>
          <w:szCs w:val="17"/>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This Section 9.3 shall not apply to Section 164 (failure to pay for stock; remedies), Section 296 (adjudication of claims; appeal), Section 311 (revocation of voluntary dissolution), Section 312 (renewal, revival, extension and restoration of certificate of incorporation) or Section 324 (attachment of shares of stock) of the DGCL.</w:t>
      </w:r>
    </w:p>
    <w:p>
      <w:pPr>
        <w:spacing w:after="0" w:line="176" w:lineRule="exact"/>
        <w:rPr>
          <w:sz w:val="20"/>
          <w:szCs w:val="20"/>
          <w:color w:val="auto"/>
        </w:rPr>
      </w:pPr>
    </w:p>
    <w:p>
      <w:pPr>
        <w:jc w:val="both"/>
        <w:ind w:right="120" w:firstLine="594"/>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Construction</w:t>
      </w:r>
      <w:r>
        <w:rPr>
          <w:rFonts w:ascii="Arial" w:cs="Arial" w:eastAsia="Arial" w:hAnsi="Arial"/>
          <w:sz w:val="17"/>
          <w:szCs w:val="17"/>
          <w:color w:val="auto"/>
        </w:rPr>
        <w:t>. Unless the context requires otherwise, the general provisions, rules of construction and definitions in the DGCL shall govern the construction of these Bylaws. The singular number includes the plural, and the plural number includes the singular. All pronouns used in these Bylaws shall be deemed to refer to the masculine, feminine and/or neuter, as the identity of the person or persons so designated may require.</w:t>
      </w:r>
    </w:p>
    <w:p>
      <w:pPr>
        <w:spacing w:after="0" w:line="165" w:lineRule="exact"/>
        <w:rPr>
          <w:sz w:val="20"/>
          <w:szCs w:val="20"/>
          <w:color w:val="auto"/>
        </w:rPr>
      </w:pPr>
    </w:p>
    <w:p>
      <w:pPr>
        <w:jc w:val="both"/>
        <w:ind w:right="100" w:firstLine="594"/>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Conflict With Applicable Law or Certificate of Incorporation</w:t>
      </w:r>
      <w:r>
        <w:rPr>
          <w:rFonts w:ascii="Arial" w:cs="Arial" w:eastAsia="Arial" w:hAnsi="Arial"/>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11" w:lineRule="exact"/>
        <w:rPr>
          <w:sz w:val="20"/>
          <w:szCs w:val="20"/>
          <w:color w:val="auto"/>
        </w:rPr>
      </w:pPr>
    </w:p>
    <w:p>
      <w:pPr>
        <w:ind w:right="40" w:firstLine="594"/>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(an “</w:t>
      </w:r>
      <w:r>
        <w:rPr>
          <w:rFonts w:ascii="Arial" w:cs="Arial" w:eastAsia="Arial" w:hAnsi="Arial"/>
          <w:sz w:val="17"/>
          <w:szCs w:val="17"/>
          <w:u w:val="single" w:color="auto"/>
          <w:color w:val="auto"/>
        </w:rPr>
        <w:t>Indemnitee</w:t>
      </w:r>
      <w:r>
        <w:rPr>
          <w:rFonts w:ascii="Arial" w:cs="Arial" w:eastAsia="Arial" w:hAnsi="Arial"/>
          <w:sz w:val="17"/>
          <w:szCs w:val="17"/>
          <w:color w:val="auto"/>
        </w:rPr>
        <w:t>”) who was or is made or is threatened to be made a party or is otherwise involved in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for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(any such entity, an “</w:t>
      </w:r>
      <w:r>
        <w:rPr>
          <w:rFonts w:ascii="Arial" w:cs="Arial" w:eastAsia="Arial" w:hAnsi="Arial"/>
          <w:sz w:val="17"/>
          <w:szCs w:val="17"/>
          <w:u w:val="single" w:color="auto"/>
          <w:color w:val="auto"/>
        </w:rPr>
        <w:t>Other Entity</w:t>
      </w:r>
      <w:r>
        <w:rPr>
          <w:rFonts w:ascii="Arial" w:cs="Arial" w:eastAsia="Arial" w:hAnsi="Arial"/>
          <w:sz w:val="17"/>
          <w:szCs w:val="17"/>
          <w:color w:val="auto"/>
        </w:rPr>
        <w:t>”), against all liability and loss suffered (including, but not limited to expenses (including but not limited to, attorneys’ fees and expenses), judgments, fines and amounts paid in settlement actually and reasonably incurred by such Indemnitee in connection with any such Proceeding) provided, that the Indemnitee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w:t>
      </w:r>
    </w:p>
    <w:p>
      <w:pPr>
        <w:spacing w:after="0" w:line="191" w:lineRule="exact"/>
        <w:rPr>
          <w:sz w:val="20"/>
          <w:szCs w:val="20"/>
          <w:color w:val="auto"/>
        </w:rPr>
      </w:pPr>
    </w:p>
    <w:p>
      <w:pPr>
        <w:ind w:right="60" w:firstLine="594"/>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The Corporation shall to the fullest extent not prohibited by applicable law pay the expenses (including attorneys’ fees) incurred by an Indemnitee in defending any Proceeding in advance of its final disposition, provided, however,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Article X or otherwise.</w:t>
      </w:r>
    </w:p>
    <w:p>
      <w:pPr>
        <w:spacing w:after="0" w:line="188" w:lineRule="exact"/>
        <w:rPr>
          <w:sz w:val="20"/>
          <w:szCs w:val="20"/>
          <w:color w:val="auto"/>
        </w:rPr>
      </w:pPr>
    </w:p>
    <w:p>
      <w:pPr>
        <w:ind w:right="40" w:firstLine="594"/>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Former Directors, Officers, Employees and Agents</w:t>
      </w:r>
      <w:r>
        <w:rPr>
          <w:rFonts w:ascii="Arial" w:cs="Arial" w:eastAsia="Arial" w:hAnsi="Arial"/>
          <w:sz w:val="18"/>
          <w:szCs w:val="18"/>
          <w:color w:val="auto"/>
        </w:rPr>
        <w:t>. Indemnification pursuant to this Article X shall continue as to an Indemnitee who has ceased to be a director, officer, employee or agent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88" w:lineRule="exact"/>
        <w:rPr>
          <w:sz w:val="20"/>
          <w:szCs w:val="20"/>
          <w:color w:val="auto"/>
        </w:rPr>
      </w:pPr>
    </w:p>
    <w:p>
      <w:pPr>
        <w:ind w:firstLine="594"/>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the Proceeding with respect to which indemnification is sought, including any settlement of such Proceeding) or advancement of expenses under this Article X is not paid in full within sixty (60) days after a written claim therefor by the Indemnitee has been received by the Corporation, the Indemnitee may file suit to recover the unpaid amount of such claim and, if successful in whole or in part, shall be entitled to be paid the expense of prosecuting such claim to the fullest extent permitted by applicable law. In any such action the Corporation shall have the burden of proving that the Indemnitee is not entitled to the requested indemnification or advancement of expenses under this Article X and applicable law.</w:t>
      </w:r>
    </w:p>
    <w:p>
      <w:pPr>
        <w:spacing w:after="0" w:line="192" w:lineRule="exact"/>
        <w:rPr>
          <w:sz w:val="20"/>
          <w:szCs w:val="20"/>
          <w:color w:val="auto"/>
        </w:rPr>
      </w:pPr>
    </w:p>
    <w:p>
      <w:pPr>
        <w:ind w:right="160" w:firstLine="594"/>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Indemnitee by this Article X shall not be exclusive of any other rights which such Indemnitee may have or hereafter acquire under any statute, the Certificate of Incorporation, these Bylaws, or any agreement, vote of stockholders or disinterested directors or otherwise.</w:t>
      </w:r>
    </w:p>
    <w:p>
      <w:pPr>
        <w:spacing w:after="0" w:line="184" w:lineRule="exact"/>
        <w:rPr>
          <w:sz w:val="20"/>
          <w:szCs w:val="20"/>
          <w:color w:val="auto"/>
        </w:rPr>
      </w:pPr>
    </w:p>
    <w:p>
      <w:pPr>
        <w:ind w:right="300" w:firstLine="594"/>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against any liability asserted against such person and incurred by such person in any such capacity, or arising out of such person’s status as such, whether or not the Corporation would have the power to indemnify such person against such liability under this Article X, the DGCL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right="220" w:firstLine="594"/>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right to indemnification or to advancement of expenses of any Indemnitee arising hereunder shall not be eliminated or impaired by an amendment to or repeal of this Article X after the occurrence of the act or omission that is the subject of the Proceeding for which indemnification or advancement of expenses is sought.</w:t>
      </w:r>
    </w:p>
    <w:p>
      <w:pPr>
        <w:spacing w:after="0" w:line="184" w:lineRule="exact"/>
        <w:rPr>
          <w:sz w:val="20"/>
          <w:szCs w:val="20"/>
          <w:color w:val="auto"/>
        </w:rPr>
      </w:pPr>
    </w:p>
    <w:p>
      <w:pPr>
        <w:ind w:right="60" w:firstLine="594"/>
        <w:spacing w:after="0" w:line="25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Saving Clause</w:t>
      </w:r>
      <w:r>
        <w:rPr>
          <w:rFonts w:ascii="Arial" w:cs="Arial" w:eastAsia="Arial" w:hAnsi="Arial"/>
          <w:sz w:val="18"/>
          <w:szCs w:val="18"/>
          <w:color w:val="auto"/>
        </w:rPr>
        <w:t>. If this Article X or any portion hereof shall be invalidated on any ground by any court of competent jurisdiction, then the Corporation shall nevertheless indemnify each director, officer, employee and agent to the fullest extent not prohibited by any applicable portion of this Article X that shall not have been invalidated, or by any other applicable law. If this Article X shall be invalid due to the application of the indemnification provisions of another jurisdiction, then the Corporation shall indemnify each director, officer, employee and agent to the fullest extent under any other applicable law.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JURISDICTION FOR CERTAIN ACTIONS</w:t>
      </w:r>
    </w:p>
    <w:p>
      <w:pPr>
        <w:spacing w:after="0" w:line="211" w:lineRule="exact"/>
        <w:rPr>
          <w:sz w:val="20"/>
          <w:szCs w:val="20"/>
          <w:color w:val="auto"/>
        </w:rPr>
      </w:pPr>
    </w:p>
    <w:p>
      <w:pPr>
        <w:ind w:right="100" w:firstLine="594"/>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Exclusive Jurisdiction for Certain Actions</w:t>
      </w:r>
      <w:r>
        <w:rPr>
          <w:rFonts w:ascii="Arial" w:cs="Arial" w:eastAsia="Arial" w:hAnsi="Arial"/>
          <w:sz w:val="16"/>
          <w:szCs w:val="16"/>
          <w:color w:val="auto"/>
        </w:rPr>
        <w:t>. Unless the Corporation consents in writing to the selection of an alternative forum, the Court of Chancery of the State of Delaware shall be the sole and exclusive forum for (i) any derivative action or proceeding brought on behalf of the Corporation,</w:t>
      </w:r>
    </w:p>
    <w:p>
      <w:pPr>
        <w:jc w:val="both"/>
        <w:ind w:right="60" w:firstLine="8"/>
        <w:spacing w:after="0" w:line="253"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for breach of a fiduciary duty owed by any director, officer, employee or agent of the Corporation to the Corporation or the Corporation’s stockholders, (iii) any action asserting a claim arising pursuant to any provision of the DGCL, the Certificate of Incorporation or the Bylaws of the Corporation or (iv) any action asserting a claim governed by the internal affairs doctrine, in each case subject to said Court of Chancery having personal jurisdiction over the indispensable parties named as defendants therein.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594"/>
        <w:spacing w:after="0" w:line="272"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of Directors is expressly empowered to adopt, amend or repeal these Bylaws or adopt new Bylaws of the Corporation. Any adoption, amendment or repeal of these Bylaws or adoption of new Bylaws of the Corporation by the Board of Directors shall require the approval of a majority of the directors then in office. Notwithstanding the foregoing, the stockholders of the Corporation shall also have power to adopt, amend or repeal the Bylaws of the Corporation; provided, however, that, in addition to any vote of the holders of any class or series of stock of the Corporation required by law or by the Certificate of Incorporation, the affirmative vote of the holders of at least sixty-six and two-thirds percent (66-2/3%)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Adopted as of June 18,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Amended: January 8, 2016; March 18, 2022; August 16, 2023.</w:t>
      </w:r>
    </w:p>
    <w:p>
      <w:pPr>
        <w:sectPr>
          <w:pgSz w:w="11900" w:h="16838" w:orient="portrait"/>
          <w:cols w:equalWidth="0" w:num="1">
            <w:col w:w="11220"/>
          </w:cols>
          <w:pgMar w:left="320" w:top="584" w:right="359" w:bottom="1440" w:gutter="0" w:footer="0" w:header="0"/>
        </w:sectPr>
      </w:pPr>
    </w:p>
    <w:bookmarkStart w:id="41" w:name="page42"/>
    <w:bookmarkEnd w:id="41"/>
    <w:p>
      <w:pPr>
        <w:ind w:left="1040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WARRANT HAS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ANY OTHER SECURITIES LAWS AND MAY NOT BE OFFERED FOR SALE, SOLD, DELIVERED AFTER SALE, TRANSFERRED, PLEDGED OR HYPOTHECATED IN THE ABSENCE OF (1) AN EFFECTIVE REGISTRATION STATEMENT COVERING THIS WARRANT UNDER THE ACT AND ANY OTHER APPLICABLE SECURITIES LAWS, OR (2) AN OPINION OF COUNSEL REASONABLY SATISFACTORY TO THE COMPANY THAT SUCH REGISTRATION IS NOT REQUIRED.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CERVOMED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COMMON STOCK</w:t>
      </w:r>
    </w:p>
    <w:p>
      <w:pPr>
        <w:spacing w:after="0" w:line="225" w:lineRule="exact"/>
        <w:rPr>
          <w:sz w:val="20"/>
          <w:szCs w:val="20"/>
          <w:color w:val="auto"/>
        </w:rPr>
      </w:pPr>
    </w:p>
    <w:p>
      <w:pPr>
        <w:ind w:left="660"/>
        <w:spacing w:after="0"/>
        <w:tabs>
          <w:tab w:leader="none" w:pos="8980" w:val="left"/>
        </w:tabs>
        <w:rPr>
          <w:sz w:val="20"/>
          <w:szCs w:val="20"/>
          <w:color w:val="auto"/>
        </w:rPr>
      </w:pPr>
      <w:r>
        <w:rPr>
          <w:rFonts w:ascii="Arial" w:cs="Arial" w:eastAsia="Arial" w:hAnsi="Arial"/>
          <w:sz w:val="18"/>
          <w:szCs w:val="18"/>
          <w:b w:val="1"/>
          <w:bCs w:val="1"/>
          <w:color w:val="auto"/>
        </w:rPr>
        <w:t>__________</w:t>
      </w:r>
      <w:r>
        <w:rPr>
          <w:sz w:val="20"/>
          <w:szCs w:val="20"/>
          <w:color w:val="auto"/>
        </w:rPr>
        <w:tab/>
      </w:r>
      <w:r>
        <w:rPr>
          <w:rFonts w:ascii="Arial" w:cs="Arial" w:eastAsia="Arial" w:hAnsi="Arial"/>
          <w:sz w:val="18"/>
          <w:szCs w:val="18"/>
          <w:b w:val="1"/>
          <w:bCs w:val="1"/>
          <w:color w:val="auto"/>
        </w:rPr>
        <w:t>Warrant No. 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CervoMed, Inc.</w:t>
      </w:r>
      <w:r>
        <w:rPr>
          <w:rFonts w:ascii="Arial" w:cs="Arial" w:eastAsia="Arial" w:hAnsi="Arial"/>
          <w:sz w:val="16"/>
          <w:szCs w:val="16"/>
          <w:color w:val="auto"/>
        </w:rPr>
        <w:t>,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hereby certifies that </w:t>
      </w:r>
      <w:r>
        <w:rPr>
          <w:rFonts w:ascii="Arial" w:cs="Arial" w:eastAsia="Arial" w:hAnsi="Arial"/>
          <w:sz w:val="16"/>
          <w:szCs w:val="16"/>
          <w:b w:val="1"/>
          <w:bCs w:val="1"/>
          <w:color w:val="auto"/>
        </w:rPr>
        <w:t>______</w:t>
      </w:r>
      <w:r>
        <w:rPr>
          <w:rFonts w:ascii="Arial" w:cs="Arial" w:eastAsia="Arial" w:hAnsi="Arial"/>
          <w:sz w:val="16"/>
          <w:szCs w:val="16"/>
          <w:color w:val="auto"/>
        </w:rPr>
        <w:t xml:space="preserve"> or his or her registered transferees,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successors or assigns (each person or entity holding all or part of this Warrant being referred to as a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the registered holder of warrants (the “</w:t>
      </w:r>
      <w:r>
        <w:rPr>
          <w:rFonts w:ascii="Arial" w:cs="Arial" w:eastAsia="Arial" w:hAnsi="Arial"/>
          <w:sz w:val="16"/>
          <w:szCs w:val="16"/>
          <w:b w:val="1"/>
          <w:bCs w:val="1"/>
          <w:u w:val="single" w:color="auto"/>
          <w:color w:val="auto"/>
        </w:rPr>
        <w:t>Warrants</w:t>
      </w:r>
      <w:r>
        <w:rPr>
          <w:rFonts w:ascii="Arial" w:cs="Arial" w:eastAsia="Arial" w:hAnsi="Arial"/>
          <w:sz w:val="16"/>
          <w:szCs w:val="16"/>
          <w:color w:val="auto"/>
        </w:rPr>
        <w:t>”) to subscribe for and purchase ______________ (____) shares (as adjusted pursuant to Section 3 hereof, the “</w:t>
      </w:r>
      <w:r>
        <w:rPr>
          <w:rFonts w:ascii="Arial" w:cs="Arial" w:eastAsia="Arial" w:hAnsi="Arial"/>
          <w:sz w:val="16"/>
          <w:szCs w:val="16"/>
          <w:b w:val="1"/>
          <w:bCs w:val="1"/>
          <w:u w:val="single" w:color="auto"/>
          <w:color w:val="auto"/>
        </w:rPr>
        <w:t>Warrant Shares</w:t>
      </w:r>
      <w:r>
        <w:rPr>
          <w:rFonts w:ascii="Arial" w:cs="Arial" w:eastAsia="Arial" w:hAnsi="Arial"/>
          <w:sz w:val="16"/>
          <w:szCs w:val="16"/>
          <w:color w:val="auto"/>
        </w:rPr>
        <w:t>”) of the fully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paid and nonassessable common stock, $0.001 par value per share, of the Company, at a purchase price per share initially equal to __________ ($_____)</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Warrant Price</w:t>
      </w:r>
      <w:r>
        <w:rPr>
          <w:rFonts w:ascii="Arial" w:cs="Arial" w:eastAsia="Arial" w:hAnsi="Arial"/>
          <w:sz w:val="18"/>
          <w:szCs w:val="18"/>
          <w:color w:val="auto"/>
        </w:rPr>
        <w:t>”) on or before, 5:00 P.M. Eastern Time, on April 2, 2028 (the “</w:t>
      </w: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xml:space="preserve">”), subject to the provisions and upon the terms and conditions hereinafter set forth;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any portion of this Warrant is unexercised as of the Expiration Date, the terms of below shall apply. As used in this Warrant, the term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or Sunday on which commercial banks located in New York, New York are open for the general transaction of business.</w:t>
      </w:r>
    </w:p>
    <w:p>
      <w:pPr>
        <w:spacing w:after="0" w:line="19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380"/>
        <w:spacing w:after="0"/>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806"/>
        <w:spacing w:after="0" w:line="289" w:lineRule="auto"/>
        <w:tabs>
          <w:tab w:leader="none" w:pos="1830"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Subject to the provisions hereof, the Holder may exercise this Warrant, in whole or in part and from time to time, by the surrender of this Warrant (with the Notice of Exercise attached hereto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duly executed) at the principal office of the Company, or such other office or agency of the Company as it may reasonably designate by written notice to the Holder, during normal business hours on any Business Day, and the payment by the Holder by cash, certified check payable to the Company or wire transfer of immediately available funds to an account designated to the exercising Holder by the Company of an amount equal to the then applicable Warrant Price multiplied by the number of Warrant Shares then being purchased, or in the event of a cashless exercise pursuant to Section 1(c) below, with the Net Issue Election Notice attached hereto as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 xml:space="preserve"> duly executed and completed. On the date on which the Holder shall have satisfied in full the Holder’s obligations set forth herein regarding an exercise of this Warrant (provided such date is prior to the Expiration Date), the Holder (or such other person or persons as directed by the Holder) shall be treated for all purposes as the holder of record of such Warrant Shares as of the close of business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left="-320" w:firstLine="806"/>
        <w:spacing w:after="0" w:line="255" w:lineRule="auto"/>
        <w:tabs>
          <w:tab w:leader="none" w:pos="9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any exercise of the rights represented by this Warrant, certificates for the whole number of shares of Common Stock so purchased shall be delivered to the Holder (or such other person or persons as directed by the Holder) as promptly as is reasonably practicable (but not later than three (3) Business Days) after such exercise at the Company’s expense, and, unless this Warrant has been fully exercised, a new Warrant representing the whole number of Warrant Shares, if any, with respect to which this Warrant shall not then have been exercised shall also be issued to the Holder as soon as reasonably practicable thereafter, (but not later than three (3) Business Days), after such exercise.</w:t>
      </w:r>
    </w:p>
    <w:p>
      <w:pPr>
        <w:spacing w:after="0" w:line="192" w:lineRule="exact"/>
        <w:rPr>
          <w:rFonts w:ascii="Arial" w:cs="Arial" w:eastAsia="Arial" w:hAnsi="Arial"/>
          <w:sz w:val="18"/>
          <w:szCs w:val="18"/>
          <w:color w:val="auto"/>
        </w:rPr>
      </w:pPr>
    </w:p>
    <w:p>
      <w:pPr>
        <w:jc w:val="both"/>
        <w:ind w:left="-980" w:firstLine="980"/>
        <w:spacing w:after="0" w:line="287" w:lineRule="auto"/>
        <w:tabs>
          <w:tab w:leader="none" w:pos="40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Automatic Exercise</w:t>
      </w:r>
      <w:r>
        <w:rPr>
          <w:rFonts w:ascii="Arial" w:cs="Arial" w:eastAsia="Arial" w:hAnsi="Arial"/>
          <w:sz w:val="16"/>
          <w:szCs w:val="16"/>
          <w:color w:val="auto"/>
        </w:rPr>
        <w:t>. If any portion of this Warrant remains unexercised as of either (i) the Expiration Date or (ii) the expiration of the Mandatory Exercise Period and, in either such case, the Fair Market Value (as defined below) of one share of Common Stock as of the such date is greater than the applicable Warrant Price as of the such date, then this Warrant shall be deemed to have been exercised automatically immediately prior to the close of business (i) on the Expiration Date (or, in the event that the Expiration Date is not a Business Day, the immediately preceding Business Day) or (ii) immediately prior to the expiration of the Mandatory Exercise Period, as applicable (the “</w:t>
      </w:r>
      <w:r>
        <w:rPr>
          <w:rFonts w:ascii="Arial" w:cs="Arial" w:eastAsia="Arial" w:hAnsi="Arial"/>
          <w:sz w:val="16"/>
          <w:szCs w:val="16"/>
          <w:b w:val="1"/>
          <w:bCs w:val="1"/>
          <w:u w:val="single" w:color="auto"/>
          <w:color w:val="auto"/>
        </w:rPr>
        <w:t>Automatic Exercise Date</w:t>
      </w:r>
      <w:r>
        <w:rPr>
          <w:rFonts w:ascii="Arial" w:cs="Arial" w:eastAsia="Arial" w:hAnsi="Arial"/>
          <w:sz w:val="16"/>
          <w:szCs w:val="16"/>
          <w:color w:val="auto"/>
        </w:rPr>
        <w:t>”), in the manner provided in Section 1(c) below, and the Holder (or such other person or persons as directed by the Holder) shall be treated for all purposes as the holder of record of such Warrant Shares as of the close of business on such Automatic Exercise Date. This Warrant shall be deemed to be surrendered to the Company on the Automatic Exercise Date by virtue of this Section 1(b) without any action by the Holder. As promptly as is reasonably practicable on or after the Automatic Exercise Date, but in no event prior to the date on which this Warrant is surrendered to the Company at the principal office of the Company, or such other office or agency of the Company as it may reasonably designate by written notice to the Holder, during normal business hours on any Business Day, the Company at its expense shall issue and deliver to the Holder (or such other person or persons as directed by the Holder) a certificate or certificates for the number of Warrant Shares issuable upon such exercise, in accordance with Section 1(c).</w:t>
      </w:r>
    </w:p>
    <w:p>
      <w:pPr>
        <w:spacing w:after="0" w:line="167" w:lineRule="exact"/>
        <w:rPr>
          <w:rFonts w:ascii="Arial" w:cs="Arial" w:eastAsia="Arial" w:hAnsi="Arial"/>
          <w:sz w:val="16"/>
          <w:szCs w:val="16"/>
          <w:color w:val="auto"/>
        </w:rPr>
      </w:pPr>
    </w:p>
    <w:p>
      <w:pPr>
        <w:ind w:left="4600" w:hanging="106"/>
        <w:spacing w:after="0"/>
        <w:tabs>
          <w:tab w:leader="none" w:pos="46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827" w:right="339" w:bottom="1440" w:gutter="0" w:footer="0" w:header="0"/>
        </w:sectPr>
      </w:pPr>
    </w:p>
    <w:bookmarkStart w:id="43" w:name="page44"/>
    <w:bookmarkEnd w:id="43"/>
    <w:p>
      <w:pPr>
        <w:jc w:val="both"/>
        <w:ind w:firstLine="980"/>
        <w:spacing w:after="0" w:line="293" w:lineRule="auto"/>
        <w:tabs>
          <w:tab w:leader="none" w:pos="14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Cashless Right to Convert Warrant into Common Stock</w:t>
      </w:r>
      <w:r>
        <w:rPr>
          <w:rFonts w:ascii="Arial" w:cs="Arial" w:eastAsia="Arial" w:hAnsi="Arial"/>
          <w:sz w:val="16"/>
          <w:szCs w:val="16"/>
          <w:color w:val="auto"/>
        </w:rPr>
        <w:t xml:space="preserve">. In addition to and without limiting the rights of the Holder hereof under the terms of this Warrant, the Holder may elect to receive, without the payment by the Holder of the Warrant Price, Warrant Shares equal to the value of this Warrant or any portion hereof by the surrender of this Warrant (or such portion of this Warrant being so exercised) together with the Net Issue Election Notice annexed hereto as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 xml:space="preserve"> duly executed and completed, at the office of the Company, or such other office or agency of the Company as it may reasonably designate by written notice to the Holder, during normal business hours on any Business Day. Thereupon, the Company shall issue to the Holder such number of fully paid, validly issued and nonassessable Warrant Shares, as is computed using the following formula: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Y(A-B)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the number of shares of Common Stock to be issued to the Holder (or such other person or persons as directed by the Holder) upon such exercise of the rights under this Section 1(c)</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total number of shares of Common Stock covered by this Warrant which the Holder has surrendered for cashless exercise</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the “Fair Market Value” of one share of Common Stock on the date that the Holder delivers the Net Issue Election Notice to the Company as provided herein</w:t>
      </w:r>
    </w:p>
    <w:p>
      <w:pPr>
        <w:spacing w:after="0" w:line="170"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8"/>
          <w:szCs w:val="18"/>
          <w:color w:val="auto"/>
        </w:rPr>
        <w:t>the Warrant Price in effect under this Warrant on the date that the Holder delivers the Net Issue Election Notice to the Company as provided herein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of a share of Common Stock as of a particular date (the “</w:t>
      </w:r>
      <w:r>
        <w:rPr>
          <w:rFonts w:ascii="Arial" w:cs="Arial" w:eastAsia="Arial" w:hAnsi="Arial"/>
          <w:sz w:val="18"/>
          <w:szCs w:val="18"/>
          <w:b w:val="1"/>
          <w:bCs w:val="1"/>
          <w:u w:val="single" w:color="auto"/>
          <w:color w:val="auto"/>
        </w:rPr>
        <w:t>Valuation Date</w:t>
      </w:r>
      <w:r>
        <w:rPr>
          <w:rFonts w:ascii="Arial" w:cs="Arial" w:eastAsia="Arial" w:hAnsi="Arial"/>
          <w:sz w:val="18"/>
          <w:szCs w:val="18"/>
          <w:color w:val="auto"/>
        </w:rPr>
        <w:t>”) shall mean the following: (y) if the Common Stock is then listed on a stock exchange or quoted on a quotation system, the closing sale price of one share of Common Stock on such exchange or system on the last trading day prior to the Valuation Date; or (z) if the Common Stock is not then listed on a stock exchange or quoted on a quotation system, the Fair Market Value of one share of Common Stock as of the Valuation Date shall be determined by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in its reasonable and good faith judgment. The Board shall respond promptly in writing to an inquiry by the Holder prior to the exercise hereunder as to the Fair Market Value of a share of Common Stock.</w:t>
      </w:r>
    </w:p>
    <w:p>
      <w:pPr>
        <w:spacing w:after="0" w:line="191" w:lineRule="exact"/>
        <w:rPr>
          <w:sz w:val="20"/>
          <w:szCs w:val="20"/>
          <w:color w:val="auto"/>
        </w:rPr>
      </w:pPr>
    </w:p>
    <w:p>
      <w:pPr>
        <w:jc w:val="both"/>
        <w:ind w:firstLine="980"/>
        <w:spacing w:after="0" w:line="287" w:lineRule="auto"/>
        <w:tabs>
          <w:tab w:leader="none" w:pos="148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So long as this Warrant shall be outstanding, if the Company proposes to enter into a Mandatory Exercise Transaction (as hereinafter defined), then in any such case, the Company shall cause to be mailed by certified mail to the Holder, at least twenty (20) days prior to the date such proposed Mandatory Exercise Transaction is to be effectuated, a notice containing (i) a brief description of the proposed Mandatory Exercise Transaction; and (ii) the date upon which such proposed Mandatory Exercise Transaction is to take place. The failure to give such notice, however, shall not affect the validity of any proposed Mandatory Exercise Transaction for which the notice was required to be given but shall relieve the Holder of its obligation to exercise the Warrant pursuant to this provision. During the period beginning on the date of Holder’s receipt of such notice and ending on the date which is two (2) days prior to the date upon which such proposed Mandatory Exercise Transaction is to take place, as set forth in the notice (the “</w:t>
      </w:r>
      <w:r>
        <w:rPr>
          <w:rFonts w:ascii="Arial" w:cs="Arial" w:eastAsia="Arial" w:hAnsi="Arial"/>
          <w:sz w:val="16"/>
          <w:szCs w:val="16"/>
          <w:b w:val="1"/>
          <w:bCs w:val="1"/>
          <w:u w:val="single" w:color="auto"/>
          <w:color w:val="auto"/>
        </w:rPr>
        <w:t>Mandatory Exercise Period</w:t>
      </w:r>
      <w:r>
        <w:rPr>
          <w:rFonts w:ascii="Arial" w:cs="Arial" w:eastAsia="Arial" w:hAnsi="Arial"/>
          <w:sz w:val="16"/>
          <w:szCs w:val="16"/>
          <w:color w:val="auto"/>
        </w:rPr>
        <w:t>”), Holder must exercise its right, in accordance with all applicable conditions of exercise set forth in this Warrant, to purchase Warrant Shares which Holder is entitled to purchase hereunder, and if Holder fails to so exercise such right within the Mandatory Exercise Period (unless the Company has failed to give the notice required hereunder), all Warrant Shares for which Holder has not exercised its right to receive hereunder shall expire. For purposes hereof, a “</w:t>
      </w:r>
      <w:r>
        <w:rPr>
          <w:rFonts w:ascii="Arial" w:cs="Arial" w:eastAsia="Arial" w:hAnsi="Arial"/>
          <w:sz w:val="16"/>
          <w:szCs w:val="16"/>
          <w:b w:val="1"/>
          <w:bCs w:val="1"/>
          <w:u w:val="single" w:color="auto"/>
          <w:color w:val="auto"/>
        </w:rPr>
        <w:t>Mandatory Exercise Transaction</w:t>
      </w:r>
      <w:r>
        <w:rPr>
          <w:rFonts w:ascii="Arial" w:cs="Arial" w:eastAsia="Arial" w:hAnsi="Arial"/>
          <w:sz w:val="16"/>
          <w:szCs w:val="16"/>
          <w:color w:val="auto"/>
        </w:rPr>
        <w:t>” shall mean any of the following:</w:t>
      </w:r>
    </w:p>
    <w:p>
      <w:pPr>
        <w:spacing w:after="0" w:line="171" w:lineRule="exact"/>
        <w:rPr>
          <w:rFonts w:ascii="Arial" w:cs="Arial" w:eastAsia="Arial" w:hAnsi="Arial"/>
          <w:sz w:val="16"/>
          <w:szCs w:val="16"/>
          <w:color w:val="auto"/>
        </w:rPr>
      </w:pPr>
    </w:p>
    <w:p>
      <w:pPr>
        <w:ind w:left="660" w:firstLine="806"/>
        <w:spacing w:after="0" w:line="308" w:lineRule="auto"/>
        <w:tabs>
          <w:tab w:leader="none" w:pos="183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merger or consolidation of the Company with or into any corporation or other entity that is not a wholly-owned subsidiary of the Company, other than a merger in which the Company or a wholly-owned subsidiary of the Company is the surviving entity; or</w:t>
      </w:r>
    </w:p>
    <w:p>
      <w:pPr>
        <w:spacing w:after="0" w:line="146" w:lineRule="exact"/>
        <w:rPr>
          <w:rFonts w:ascii="Arial" w:cs="Arial" w:eastAsia="Arial" w:hAnsi="Arial"/>
          <w:sz w:val="17"/>
          <w:szCs w:val="17"/>
          <w:color w:val="auto"/>
        </w:rPr>
      </w:pPr>
    </w:p>
    <w:p>
      <w:pPr>
        <w:ind w:left="5580" w:hanging="106"/>
        <w:spacing w:after="0"/>
        <w:tabs>
          <w:tab w:leader="none" w:pos="55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4" w:firstLine="806"/>
        <w:spacing w:after="0" w:line="277" w:lineRule="auto"/>
        <w:tabs>
          <w:tab w:leader="none" w:pos="1244"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sale, exclusive license or other disposition of all or substantially all of the assets of the Company to a person or entity other than a wholly-owned subsidiary of the Company.</w:t>
      </w:r>
    </w:p>
    <w:p>
      <w:pPr>
        <w:spacing w:after="0" w:line="170" w:lineRule="exact"/>
        <w:rPr>
          <w:rFonts w:ascii="Arial" w:cs="Arial" w:eastAsia="Arial" w:hAnsi="Arial"/>
          <w:sz w:val="18"/>
          <w:szCs w:val="18"/>
          <w:color w:val="auto"/>
        </w:rPr>
      </w:pPr>
    </w:p>
    <w:p>
      <w:pPr>
        <w:jc w:val="both"/>
        <w:ind w:left="-656" w:firstLine="656"/>
        <w:spacing w:after="0" w:line="254" w:lineRule="auto"/>
        <w:tabs>
          <w:tab w:leader="none" w:pos="38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Reservation of Shares; Stock Fully Paid; Listing</w:t>
      </w:r>
      <w:r>
        <w:rPr>
          <w:rFonts w:ascii="Arial" w:cs="Arial" w:eastAsia="Arial" w:hAnsi="Arial"/>
          <w:sz w:val="18"/>
          <w:szCs w:val="18"/>
          <w:color w:val="auto"/>
        </w:rPr>
        <w:t>. The Company shall keep reserved a sufficient number of shares of the authorized and unissued shares of Common Stock, to provide for the exercise of the rights of purchase represented by this Warrant in compliance with its terms. All Warrant Shares issued upon exercise of this Warrant shall be, at the time of delivery of the certificates for such Warrant Shares upon payment in full of the Exercise Price therefor in accordance with the terms of this Warrant (or proper exercise of the cashless exercise rights contained in Section 3(c) hereof), duly authorized, validly issued, fully paid and non-assessable shares of Common Stock of the Company. The Company shall during all times prior to the Expiration Date when the shares of Common Stock issuable upon the exercise of this Warrant are authorized for quotation or listing on a stock exchange or quotation system, keep the shares of Common Stock issuable upon the exercise of this Warrant authorized for quotation such exchange or system, as the case may be.</w:t>
      </w:r>
    </w:p>
    <w:p>
      <w:pPr>
        <w:spacing w:after="0" w:line="191" w:lineRule="exact"/>
        <w:rPr>
          <w:rFonts w:ascii="Arial" w:cs="Arial" w:eastAsia="Arial" w:hAnsi="Arial"/>
          <w:sz w:val="18"/>
          <w:szCs w:val="18"/>
          <w:color w:val="auto"/>
        </w:rPr>
      </w:pPr>
    </w:p>
    <w:p>
      <w:pPr>
        <w:ind w:left="-656" w:right="20" w:firstLine="656"/>
        <w:spacing w:after="0" w:line="277"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Adjustments and Distributions</w:t>
      </w:r>
      <w:r>
        <w:rPr>
          <w:rFonts w:ascii="Arial" w:cs="Arial" w:eastAsia="Arial" w:hAnsi="Arial"/>
          <w:sz w:val="18"/>
          <w:szCs w:val="18"/>
          <w:color w:val="auto"/>
        </w:rPr>
        <w:t>. The number and kind of securities purchasable upon the exercise of this Warrant and the Warrant Price shall be subject to adjustment from time to time upon the occurrence of certain events, as follows:</w:t>
      </w:r>
    </w:p>
    <w:p>
      <w:pPr>
        <w:spacing w:after="0" w:line="170" w:lineRule="exact"/>
        <w:rPr>
          <w:rFonts w:ascii="Arial" w:cs="Arial" w:eastAsia="Arial" w:hAnsi="Arial"/>
          <w:sz w:val="18"/>
          <w:szCs w:val="18"/>
          <w:color w:val="auto"/>
        </w:rPr>
      </w:pPr>
    </w:p>
    <w:p>
      <w:pPr>
        <w:jc w:val="both"/>
        <w:ind w:left="-656" w:firstLine="980"/>
        <w:spacing w:after="0" w:line="254" w:lineRule="auto"/>
        <w:tabs>
          <w:tab w:leader="none" w:pos="70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If the Company shall at any time or from time to time while this Warrant is outstanding, pay a dividend or make a distribution on its Common Stock in shares of Common Stock, subdivide its outstanding shares of Common Stock into a greater number of shares or combine its outstanding shares of Common Stock into a smaller number of shares, then the number of Warrant Shares purchasable upon exercise of this Warrant and the Warrant Price in effect immediately prior to the date upon which such change shall become effective shall be proportionally adjusted by the Company so that the Holder thereafter exercising this Warrant shall be entitled to receive the number of shares of Common Stock or other capital stock which the Holder would have received if this Warrant had been exercised immediately prior to such event (taking into account such event) upon payment of a Warrant Price that has been proportionally adjusted to reflect such event. Such adjustments shall be made successively whenever any event listed above shall occur.</w:t>
      </w:r>
    </w:p>
    <w:p>
      <w:pPr>
        <w:spacing w:after="0" w:line="191" w:lineRule="exact"/>
        <w:rPr>
          <w:rFonts w:ascii="Arial" w:cs="Arial" w:eastAsia="Arial" w:hAnsi="Arial"/>
          <w:sz w:val="18"/>
          <w:szCs w:val="18"/>
          <w:color w:val="auto"/>
        </w:rPr>
      </w:pPr>
    </w:p>
    <w:p>
      <w:pPr>
        <w:ind w:left="4924" w:hanging="106"/>
        <w:spacing w:after="0"/>
        <w:tabs>
          <w:tab w:leader="none" w:pos="4924" w:val="left"/>
        </w:tabs>
        <w:numPr>
          <w:ilvl w:val="3"/>
          <w:numId w:val="5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45" w:name="page46"/>
    <w:bookmarkEnd w:id="45"/>
    <w:p>
      <w:pPr>
        <w:jc w:val="both"/>
        <w:ind w:left="-980" w:firstLine="980"/>
        <w:spacing w:after="0" w:line="269" w:lineRule="auto"/>
        <w:tabs>
          <w:tab w:leader="none" w:pos="38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If any recapitalization, reclassification or reorganization of the capital stock of the Company (other than a change in par value or a subdivision or combination as provided for in Section 3(a) above) shall be effected in such a manner (including, without limitation, in connection with a consolidation or merger in which the Company is the continuing corporation), that holders of Common Stock shall be entitled to receive stock, securities, or other assets or property (a “</w:t>
      </w:r>
      <w:r>
        <w:rPr>
          <w:rFonts w:ascii="Arial" w:cs="Arial" w:eastAsia="Arial" w:hAnsi="Arial"/>
          <w:sz w:val="17"/>
          <w:szCs w:val="17"/>
          <w:b w:val="1"/>
          <w:bCs w:val="1"/>
          <w:u w:val="single" w:color="auto"/>
          <w:color w:val="auto"/>
        </w:rPr>
        <w:t>Reorganization</w:t>
      </w:r>
      <w:r>
        <w:rPr>
          <w:rFonts w:ascii="Arial" w:cs="Arial" w:eastAsia="Arial" w:hAnsi="Arial"/>
          <w:sz w:val="17"/>
          <w:szCs w:val="17"/>
          <w:color w:val="auto"/>
        </w:rPr>
        <w:t>”), then, as a condition of such Reorganization, lawful and adequate provisions shall be made by the Company whereby the Holder hereof shall thereafter have the right to purchase and receive (in lieu of the shares of the Common Stock of the Company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the event of any Reorganization, appropriate provision shall be made by the Company with respect to the rights and interests of the Holder of this Warrant to the end that the provisions hereof (including, without limitation, provisions for adjustments of the Warrant Price and of the number of Warrant Shares) shall thereafter be applicable, in relation to any shares of stock, securities or assets thereafter deliverable upon the exercise hereof. The provisions of this Section 3(b) shall similarly apply to successive Reorganizations.</w:t>
      </w:r>
    </w:p>
    <w:p>
      <w:pPr>
        <w:spacing w:after="0" w:line="178" w:lineRule="exact"/>
        <w:rPr>
          <w:rFonts w:ascii="Arial" w:cs="Arial" w:eastAsia="Arial" w:hAnsi="Arial"/>
          <w:sz w:val="17"/>
          <w:szCs w:val="17"/>
          <w:color w:val="auto"/>
        </w:rPr>
      </w:pPr>
    </w:p>
    <w:p>
      <w:pPr>
        <w:jc w:val="both"/>
        <w:ind w:left="-980" w:firstLine="980"/>
        <w:spacing w:after="0" w:line="268" w:lineRule="auto"/>
        <w:tabs>
          <w:tab w:leader="none" w:pos="42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Mergers and other Transactions</w:t>
      </w:r>
      <w:r>
        <w:rPr>
          <w:rFonts w:ascii="Arial" w:cs="Arial" w:eastAsia="Arial" w:hAnsi="Arial"/>
          <w:sz w:val="17"/>
          <w:szCs w:val="17"/>
          <w:color w:val="auto"/>
        </w:rPr>
        <w:t>. If any consolidation or merger of the Company with another entity in which the Company is not the survivor, or sale, transfer, exclusive license or other disposition of all or substantially all of the Company’s assets to another entity shall be effected, then, as a condition of such consolidation, merger, sale, transfer, exclusive license or other disposition, lawful and adequate provision shall be made whereby the Holder shall thereafter have the right to purchase and receive upon the basis and upon the terms and conditions herein specified and in lieu of the Warrant Shares immediately theretofore issuable upon exercise of this Warrant, such shares of stock, securities or assets as would have been issuable or payable with respect to or in exchange for a number of Warrant Shares equal to the number of Warrant Shares immediately theretofore issuable upon exercise of this Warrant, had such consolidation, merger, sale, transfer, exclusive license or other disposition not taken place, and in any such case appropriate provision shall be made with respect to the rights and interests of each Holder to the end that the provisions hereof (including, without limitation, provision for adjustment of the Warrant Price and of the number of Warrant Shares) shall thereafter be applicable, as nearly equivalent as may be practicable in relation to any shares of stock, securities or properties thereafter deliverable upon the exercise thereof. The Company shall not effect any such consolidation, merger, sale, transfer or other disposition unless prior to or simultaneously with the consummation thereof the successor entity (if other than the Company) resulting from such consolidation or merger, or the entity purchasing or otherwise acquiring such assets or other appropriate entity shall assume the obligation to deliver to the Holder such shares of stock, securities or assets as, in accordance with the foregoing provisions, such Holder may be entitled to purchase, and the other obligations under this Warrant. The provisions of this Section 3(c) shall similarly apply to successive consolidations, mergers, sales, transfers or other dispositions.</w:t>
      </w:r>
    </w:p>
    <w:p>
      <w:pPr>
        <w:spacing w:after="0" w:line="181" w:lineRule="exact"/>
        <w:rPr>
          <w:rFonts w:ascii="Arial" w:cs="Arial" w:eastAsia="Arial" w:hAnsi="Arial"/>
          <w:sz w:val="17"/>
          <w:szCs w:val="17"/>
          <w:color w:val="auto"/>
        </w:rPr>
      </w:pPr>
    </w:p>
    <w:p>
      <w:pPr>
        <w:jc w:val="both"/>
        <w:ind w:left="-980" w:firstLine="980"/>
        <w:spacing w:after="0" w:line="271" w:lineRule="auto"/>
        <w:tabs>
          <w:tab w:leader="none" w:pos="42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Price and Payment</w:t>
      </w:r>
      <w:r>
        <w:rPr>
          <w:rFonts w:ascii="Arial" w:cs="Arial" w:eastAsia="Arial" w:hAnsi="Arial"/>
          <w:sz w:val="17"/>
          <w:szCs w:val="17"/>
          <w:color w:val="auto"/>
        </w:rPr>
        <w:t>. In case the Company shall fix a payment date for the making of a distribution to all holders of Common Stock of evidences of indebtedness or assets (other than dividends or distributions referred to in Section 3(a) hereof), or subscription rights or warrants, the Warrant Price to be in effect after such payment date shall be determined by multiplying the Warrant Price in effect immediately prior to such payment date by a fraction, the numerator of which shall be the total number of shares of Common Stock outstanding multiplied by the Fair Market Value per share of Common Stock immediately prior to such payment date, less the fair market value (as determined by the Board in good faith) of said assets or evidences of indebtedness so distributed, or of such subscription rights or warrants, and the denominator of which shall be the total number of shares of Common Stock outstanding multiplied by such Fair Market Value per share of Common Stock immediately prior to such payment date. Such adjustment shall be made successively whenever such a payment date is fixed.</w:t>
      </w:r>
    </w:p>
    <w:p>
      <w:pPr>
        <w:spacing w:after="0" w:line="178" w:lineRule="exact"/>
        <w:rPr>
          <w:rFonts w:ascii="Arial" w:cs="Arial" w:eastAsia="Arial" w:hAnsi="Arial"/>
          <w:sz w:val="17"/>
          <w:szCs w:val="17"/>
          <w:color w:val="auto"/>
        </w:rPr>
      </w:pPr>
    </w:p>
    <w:p>
      <w:pPr>
        <w:ind w:left="-320" w:right="20" w:firstLine="806"/>
        <w:spacing w:after="0" w:line="342" w:lineRule="auto"/>
        <w:tabs>
          <w:tab w:leader="none" w:pos="868"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event that any dividend or distribution for which this Section 3(d) would require an adjustment is not so paid or made, the Warrant Price shall be adjusted to be the Warrant Price which would then be in effect if such dividend or distribution had not been declared.</w:t>
      </w:r>
    </w:p>
    <w:p>
      <w:pPr>
        <w:spacing w:after="0" w:line="123" w:lineRule="exact"/>
        <w:rPr>
          <w:rFonts w:ascii="Arial" w:cs="Arial" w:eastAsia="Arial" w:hAnsi="Arial"/>
          <w:sz w:val="16"/>
          <w:szCs w:val="16"/>
          <w:color w:val="auto"/>
        </w:rPr>
      </w:pPr>
    </w:p>
    <w:p>
      <w:pPr>
        <w:ind w:left="4600" w:hanging="106"/>
        <w:spacing w:after="0"/>
        <w:tabs>
          <w:tab w:leader="none" w:pos="46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46" w:name="page47"/>
    <w:bookmarkEnd w:id="46"/>
    <w:p>
      <w:pPr>
        <w:jc w:val="both"/>
        <w:ind w:left="4" w:firstLine="806"/>
        <w:spacing w:after="0" w:line="255" w:lineRule="auto"/>
        <w:tabs>
          <w:tab w:leader="none" w:pos="1227"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the event that the Company implements a new shareholder rights plan, such rights plan shall provide that upon exercise of this Warrant the Holder will receive, in addition to the Common Stock issuable upon such exercise, the rights issued under such rights plan (as if the Holder had exercised this Warrant prior to implementing the rights plan and notwithstanding the occurrence of an event causing such rights to separate from the Common Stock at or prior to the time of exercise). Any distribution of rights or warrants pursuant to a shareholder rights plan complying with the requirements set forth in the immediately preceding sentence of this paragraph shall not constitute a distribution of rights or warrants for the purposes of this Section 3(d).</w:t>
      </w:r>
    </w:p>
    <w:p>
      <w:pPr>
        <w:spacing w:after="0" w:line="192" w:lineRule="exact"/>
        <w:rPr>
          <w:rFonts w:ascii="Arial" w:cs="Arial" w:eastAsia="Arial" w:hAnsi="Arial"/>
          <w:sz w:val="18"/>
          <w:szCs w:val="18"/>
          <w:color w:val="auto"/>
        </w:rPr>
      </w:pPr>
    </w:p>
    <w:p>
      <w:pPr>
        <w:ind w:left="-656" w:firstLine="980"/>
        <w:spacing w:after="0" w:line="277" w:lineRule="auto"/>
        <w:tabs>
          <w:tab w:leader="none" w:pos="72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An adjustment pursuant to this Section 3 shall become effective immediately after the payment date in the case of each dividend or distribution and immediately after the effective date of each other event which requires an adjustment.</w:t>
      </w:r>
    </w:p>
    <w:p>
      <w:pPr>
        <w:spacing w:after="0" w:line="170" w:lineRule="exact"/>
        <w:rPr>
          <w:rFonts w:ascii="Arial" w:cs="Arial" w:eastAsia="Arial" w:hAnsi="Arial"/>
          <w:sz w:val="18"/>
          <w:szCs w:val="18"/>
          <w:color w:val="auto"/>
        </w:rPr>
      </w:pPr>
    </w:p>
    <w:p>
      <w:pPr>
        <w:jc w:val="both"/>
        <w:ind w:left="-656" w:firstLine="980"/>
        <w:spacing w:after="0" w:line="259" w:lineRule="auto"/>
        <w:tabs>
          <w:tab w:leader="none" w:pos="689"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Other Shares</w:t>
      </w:r>
      <w:r>
        <w:rPr>
          <w:rFonts w:ascii="Arial" w:cs="Arial" w:eastAsia="Arial" w:hAnsi="Arial"/>
          <w:sz w:val="18"/>
          <w:szCs w:val="18"/>
          <w:color w:val="auto"/>
        </w:rPr>
        <w:t>. In the event that, as a result of an adjustment made pursuant to this Section 3, the Holder shall become entitled to receive any shares of capital stock of the Company other than shares of Common Stock, the number of such other shares so receivable upon exercise of this Warrant shall be subject thereafter to adjustment from time to time in a manner and on terms as nearly equivalent as practicable to the provisions with respect to the Warrant Shares contained in this Warrant.</w:t>
      </w:r>
    </w:p>
    <w:p>
      <w:pPr>
        <w:spacing w:after="0" w:line="186" w:lineRule="exact"/>
        <w:rPr>
          <w:rFonts w:ascii="Arial" w:cs="Arial" w:eastAsia="Arial" w:hAnsi="Arial"/>
          <w:sz w:val="18"/>
          <w:szCs w:val="18"/>
          <w:color w:val="auto"/>
        </w:rPr>
      </w:pPr>
    </w:p>
    <w:p>
      <w:pPr>
        <w:jc w:val="both"/>
        <w:ind w:left="-656" w:firstLine="980"/>
        <w:spacing w:after="0" w:line="259" w:lineRule="auto"/>
        <w:tabs>
          <w:tab w:leader="none" w:pos="77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With each adjustment pursuant to this Section 3, the Company shall deliver a certificate signed by its chief financial or executive officer setting forth, in reasonable detail, the event requiring the adjustment, the amount of the adjustment, the method by which such adjustment was calculated, and the Warrant Price and the number of Warrant Shares purchasable hereunder after giving effect to such adjustment, which shall be mailed by first class mail, postage prepaid to the Holder.</w:t>
      </w:r>
    </w:p>
    <w:p>
      <w:pPr>
        <w:spacing w:after="0" w:line="186" w:lineRule="exact"/>
        <w:rPr>
          <w:rFonts w:ascii="Arial" w:cs="Arial" w:eastAsia="Arial" w:hAnsi="Arial"/>
          <w:sz w:val="18"/>
          <w:szCs w:val="18"/>
          <w:color w:val="auto"/>
        </w:rPr>
      </w:pPr>
    </w:p>
    <w:p>
      <w:pPr>
        <w:jc w:val="both"/>
        <w:ind w:left="-656" w:firstLine="656"/>
        <w:spacing w:after="0" w:line="255" w:lineRule="auto"/>
        <w:tabs>
          <w:tab w:leader="none" w:pos="33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will pay any documentary stamp taxes attributable to the initial issuance of Warrant Shares issuable upon the exercise of the Warrant; provided, however, that the Company shall not be required to pay any tax or taxes which may be payable in respect of any transfer involved in the issuance or delivery of any certificates for Warrant Shares in a name other than that of the registered holder of this Warrant in respect of which such shares are issued, and in such case, the Company shall not be required to issue or deliver any certificate for Warrant Shares or any Warrant until the person requesting the same has paid to the Company the amount of such tax or has established to the Company’s reasonable satisfaction that such tax has been paid.</w:t>
      </w:r>
    </w:p>
    <w:p>
      <w:pPr>
        <w:spacing w:after="0" w:line="192" w:lineRule="exact"/>
        <w:rPr>
          <w:rFonts w:ascii="Arial" w:cs="Arial" w:eastAsia="Arial" w:hAnsi="Arial"/>
          <w:sz w:val="18"/>
          <w:szCs w:val="18"/>
          <w:color w:val="auto"/>
        </w:rPr>
      </w:pPr>
    </w:p>
    <w:p>
      <w:pPr>
        <w:ind w:left="4924" w:hanging="106"/>
        <w:spacing w:after="0"/>
        <w:tabs>
          <w:tab w:leader="none" w:pos="4924" w:val="left"/>
        </w:tabs>
        <w:numPr>
          <w:ilvl w:val="3"/>
          <w:numId w:val="55"/>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47" w:name="page48"/>
    <w:bookmarkEnd w:id="47"/>
    <w:p>
      <w:pPr>
        <w:jc w:val="both"/>
        <w:ind w:left="-656" w:firstLine="656"/>
        <w:spacing w:after="0" w:line="257"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Mutilated or Missing Warrants</w:t>
      </w:r>
      <w:r>
        <w:rPr>
          <w:rFonts w:ascii="Arial" w:cs="Arial" w:eastAsia="Arial" w:hAnsi="Arial"/>
          <w:sz w:val="18"/>
          <w:szCs w:val="18"/>
          <w:color w:val="auto"/>
        </w:rPr>
        <w:t>. In case this Warrant shall be mutilated, lost, stolen, or destroyed, the Company shall issue in exchange and substitution of and upon cancellation of the mutilated Warrant, or in lieu of and substitution for the Warrant lost, stolen or destroyed, a new Warrant of like tenor and for the purchase of a like number of Warrant Shares, but only upon receipt of evidence reasonably satisfactory to the Company of such loss, theft or destruction of the Warrant, and with respect to a lost, stolen or destroyed Warrant, reasonable indemnity or bond with respect thereto, if requested by the Company.</w:t>
      </w:r>
    </w:p>
    <w:p>
      <w:pPr>
        <w:spacing w:after="0" w:line="187" w:lineRule="exact"/>
        <w:rPr>
          <w:rFonts w:ascii="Arial" w:cs="Arial" w:eastAsia="Arial" w:hAnsi="Arial"/>
          <w:sz w:val="18"/>
          <w:szCs w:val="18"/>
          <w:color w:val="auto"/>
        </w:rPr>
      </w:pPr>
    </w:p>
    <w:p>
      <w:pPr>
        <w:jc w:val="both"/>
        <w:ind w:left="-656" w:firstLine="656"/>
        <w:spacing w:after="0" w:line="286"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in connection with any exercise or cashless exercise hereunder, and in lieu of any such fractional shares the Company shall make a cash payment therefor to the Holder (or such other person or persons as directed by the Holder) based on the Fair Market Value of a share of Common Stock on the date of exercise or cashless exercise of this Warrant.</w:t>
      </w:r>
    </w:p>
    <w:p>
      <w:pPr>
        <w:spacing w:after="0" w:line="165" w:lineRule="exact"/>
        <w:rPr>
          <w:rFonts w:ascii="Arial" w:cs="Arial" w:eastAsia="Arial" w:hAnsi="Arial"/>
          <w:sz w:val="17"/>
          <w:szCs w:val="17"/>
          <w:color w:val="auto"/>
        </w:rPr>
      </w:pPr>
    </w:p>
    <w:p>
      <w:pPr>
        <w:jc w:val="both"/>
        <w:ind w:left="-656" w:firstLine="656"/>
        <w:spacing w:after="0" w:line="272"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Act and Legends</w:t>
      </w:r>
      <w:r>
        <w:rPr>
          <w:rFonts w:ascii="Arial" w:cs="Arial" w:eastAsia="Arial" w:hAnsi="Arial"/>
          <w:sz w:val="17"/>
          <w:szCs w:val="17"/>
          <w:color w:val="auto"/>
        </w:rPr>
        <w:t>. The Holder, by acceptance hereof, agrees that this Warrant and the shares of Common Stock to be issued upon exercise hereof, are being acquired for investment and that such Holder will not offer, sell or otherwise dispose of this Warrant, or any shares of Common Stock to be issued upon exercise hereof except under circumstances which will not result in a violation of the Securities Act of 1933, as amended, or the rules and regulations promulgated thereunder,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xml:space="preserve">”), or any state’s securities laws. Upon exercise of this Warrant, the Holder shall confirm in writing, by executing the form attached as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to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hereto, that the shares of Common Stock so purchased are being acquired for investment and not with a view toward distribution or resale. All shares of Common Stock issued upon exercise of this Warrant (unless registered under the Act) shall be stamped or imprinted with a legend as follows:</w:t>
      </w:r>
    </w:p>
    <w:p>
      <w:pPr>
        <w:spacing w:after="0" w:line="177"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THIS SECURITIES REPRESENTED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ANY OTHER SECURITIES LAWS AND MAY NOT BE OFFERED FOR SALE, SOLD, DELIVERED AFTER SALE, TRANSFERRED, PLEDGED OR HYPOTHECATED IN THE ABSENCE OF (1) AN EFFECTIVE REGISTRATION STATEMENT COVERING THESE SECURITIES UNDER THE ACT AND ANY OTHER APPLICABLE SECURITIES LAWS, OR (2) AN OPINION OF COUNSEL REASONABLY SATISFACTORY TO THE COMPANY THAT SUCH REGISTRATION IS NOT REQUIRED.</w:t>
      </w:r>
    </w:p>
    <w:p>
      <w:pPr>
        <w:spacing w:after="0" w:line="176" w:lineRule="exact"/>
        <w:rPr>
          <w:sz w:val="20"/>
          <w:szCs w:val="20"/>
          <w:color w:val="auto"/>
        </w:rPr>
      </w:pPr>
    </w:p>
    <w:p>
      <w:pPr>
        <w:jc w:val="both"/>
        <w:ind w:left="-656" w:firstLine="656"/>
        <w:spacing w:after="0" w:line="255" w:lineRule="auto"/>
        <w:tabs>
          <w:tab w:leader="none" w:pos="33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r>
        <w:rPr>
          <w:rFonts w:ascii="Arial" w:cs="Arial" w:eastAsia="Arial" w:hAnsi="Arial"/>
          <w:sz w:val="18"/>
          <w:szCs w:val="18"/>
          <w:color w:val="auto"/>
        </w:rPr>
        <w:t>. Except as expressly provided in this Warrant, no Holder, as such, shall be entitled to vote or receive dividends or be deemed the holder of Common Stock or any other securities of the Company which may at any time be issuable on the exercise hereof for any purpose, nor shall anything contained herein be construed to confer upon the Holder, as such, any of the rights of a stockholder of the Company or any right to vote for the election of the directors or upon any matter submitted to stockholders at any meeting thereof, or to receive notice of meetings, or to receive dividends or subscription rights or otherwise, until this Warrant shall have been exercised and the Warrant Shares purchasable upon the exercise hereof shall have become deliverable, as provided herein.</w:t>
      </w:r>
    </w:p>
    <w:p>
      <w:pPr>
        <w:spacing w:after="0" w:line="192" w:lineRule="exact"/>
        <w:rPr>
          <w:rFonts w:ascii="Arial" w:cs="Arial" w:eastAsia="Arial" w:hAnsi="Arial"/>
          <w:sz w:val="18"/>
          <w:szCs w:val="18"/>
          <w:color w:val="auto"/>
        </w:rPr>
      </w:pPr>
    </w:p>
    <w:p>
      <w:pPr>
        <w:ind w:left="4924" w:hanging="106"/>
        <w:spacing w:after="0"/>
        <w:tabs>
          <w:tab w:leader="none" w:pos="49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48" w:name="page49"/>
    <w:bookmarkEnd w:id="48"/>
    <w:p>
      <w:pPr>
        <w:ind w:right="20" w:firstLine="656"/>
        <w:spacing w:after="0" w:line="342" w:lineRule="auto"/>
        <w:tabs>
          <w:tab w:leader="none" w:pos="97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This Warrant and any provision hereof may be changed, waived, discharged or terminated only by an instrument in writing signed by the Company and the then current Holder, and such change, waiver, discharge or termination shall be binding on all future Holders.</w:t>
      </w:r>
    </w:p>
    <w:p>
      <w:pPr>
        <w:spacing w:after="0" w:line="123" w:lineRule="exact"/>
        <w:rPr>
          <w:rFonts w:ascii="Arial" w:cs="Arial" w:eastAsia="Arial" w:hAnsi="Arial"/>
          <w:sz w:val="16"/>
          <w:szCs w:val="16"/>
          <w:color w:val="auto"/>
        </w:rPr>
      </w:pPr>
    </w:p>
    <w:p>
      <w:pPr>
        <w:jc w:val="both"/>
        <w:ind w:firstLine="656"/>
        <w:spacing w:after="0" w:line="271" w:lineRule="auto"/>
        <w:tabs>
          <w:tab w:leader="none" w:pos="110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specifically provided herein, all communications under this Warrant shall be in writing and shall be deemed to have been duly given (a) on the date personally delivered to the party to whom notice is to be given, (b) on the day of transmission if sent by facsimile transmission to a number provided to a party specifically for such purposes and the sending party receives confirmation of the completion of such transmission, (c) on the Business Day after delivery to Federal Express or similar overnight courier which utilizes a written form of receipt, or (d) on the fifth day after mailing, if mailed to the party to whom notice is to be given, by first class mail, registered or certified, postage prepaid, and properly addressed, return receipt requested, to each such Holder at its address as shown on the books of the Company or to the Company at the address indicated therefor on the signature page of this Warrant. Any party hereto may change its address for purposes of this Section 9 by giving the other party written notice of the new address in the manner set forth herein.</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contained in this Warrant are inserted for convenience only and do not constitute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Warrant.</w:t>
      </w:r>
    </w:p>
    <w:p>
      <w:pPr>
        <w:spacing w:after="0" w:line="210" w:lineRule="exact"/>
        <w:rPr>
          <w:rFonts w:ascii="Arial" w:cs="Arial" w:eastAsia="Arial" w:hAnsi="Arial"/>
          <w:sz w:val="16"/>
          <w:szCs w:val="16"/>
          <w:color w:val="auto"/>
        </w:rPr>
      </w:pPr>
    </w:p>
    <w:p>
      <w:pPr>
        <w:jc w:val="both"/>
        <w:ind w:firstLine="656"/>
        <w:spacing w:after="0" w:line="269" w:lineRule="auto"/>
        <w:tabs>
          <w:tab w:leader="none" w:pos="110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and performance of this Warrant shall be governed by, and construed in accordance with, the laws of the State of Delaware applicable to contracts made and to be performed entirely within such State, regardless of the law that might be applied under principles of conflicts of law. The Company and, by accepting this Warrant, the Holder, each irrevocably submits to the exclusive jurisdiction of the courts of the State of Delaware and the United States District Court for the District of Delaware for the purpose of any suit, action, proceeding or judgment relating to or arising out of this Warrant and the transactions contemplated hereby. Service of process in connection with any such suit, action or proceeding may be served on each party hereto anywhere in the world by the same methods as are specified for the giving of notices under this Warrant. The Company and, by accepting this Warrant, the Holder, each irrevocably consents to the jurisdiction of any such court in any such suit, action or proceeding and to the laying of venue in such court. The Company and, by accepting this Warrant,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5" w:lineRule="exact"/>
        <w:rPr>
          <w:rFonts w:ascii="Arial" w:cs="Arial" w:eastAsia="Arial" w:hAnsi="Arial"/>
          <w:sz w:val="17"/>
          <w:szCs w:val="17"/>
          <w:color w:val="auto"/>
        </w:rPr>
      </w:pPr>
    </w:p>
    <w:p>
      <w:pPr>
        <w:ind w:left="1060" w:hanging="404"/>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hereof shall constitute acceptance of and agreement to the foregoing terms and conditions.</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10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Impairment of Rights</w:t>
      </w:r>
      <w:r>
        <w:rPr>
          <w:rFonts w:ascii="Arial" w:cs="Arial" w:eastAsia="Arial" w:hAnsi="Arial"/>
          <w:sz w:val="18"/>
          <w:szCs w:val="18"/>
          <w:color w:val="auto"/>
        </w:rPr>
        <w:t>. The Company will not, by amendment of its Certificate of Incorporation or through any other means,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of this Warrant against material impairment.</w:t>
      </w:r>
    </w:p>
    <w:p>
      <w:pPr>
        <w:spacing w:after="0" w:line="186" w:lineRule="exact"/>
        <w:rPr>
          <w:rFonts w:ascii="Arial" w:cs="Arial" w:eastAsia="Arial" w:hAnsi="Arial"/>
          <w:sz w:val="18"/>
          <w:szCs w:val="18"/>
          <w:color w:val="auto"/>
        </w:rPr>
      </w:pPr>
    </w:p>
    <w:p>
      <w:pPr>
        <w:ind w:left="5580" w:hanging="106"/>
        <w:spacing w:after="0"/>
        <w:tabs>
          <w:tab w:leader="none" w:pos="5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ind w:left="-20" w:firstLine="656"/>
        <w:spacing w:after="0" w:line="293" w:lineRule="auto"/>
        <w:tabs>
          <w:tab w:leader="none" w:pos="103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A Holder may transfer its rights hereunder, in whole or in part, to any other person (other than a competitor of the Company, as determined by the Board in good faith; </w:t>
      </w:r>
      <w:r>
        <w:rPr>
          <w:rFonts w:ascii="Arial" w:cs="Arial" w:eastAsia="Arial" w:hAnsi="Arial"/>
          <w:sz w:val="16"/>
          <w:szCs w:val="16"/>
          <w:i w:val="1"/>
          <w:iCs w:val="1"/>
          <w:color w:val="auto"/>
        </w:rPr>
        <w:t>provided, however</w:t>
      </w:r>
      <w:r>
        <w:rPr>
          <w:rFonts w:ascii="Arial" w:cs="Arial" w:eastAsia="Arial" w:hAnsi="Arial"/>
          <w:sz w:val="16"/>
          <w:szCs w:val="16"/>
          <w:color w:val="auto"/>
        </w:rPr>
        <w:t>, __________ shall be deemed not to be a competitor), provided that written notice is given to the Company of any such transfer and such transfer is in accordance with applicable law. Upon receipt by the Company of notice by a Holder of a transfer of any portion of this Warrant, the Company shall promptly deliver to a transferee a Warrant in the form hereof exercisable for the number of Warrant Shares the right of which to purchase has been transferred. In addition to, and not in limitation of, the foregoing, a Holder that is a corporation, a partnership or a limited liability company, may distribute any portion of a warrant to its respective shareholders, partners or members.</w:t>
      </w:r>
    </w:p>
    <w:p>
      <w:pPr>
        <w:spacing w:after="0" w:line="164" w:lineRule="exact"/>
        <w:rPr>
          <w:rFonts w:ascii="Arial" w:cs="Arial" w:eastAsia="Arial" w:hAnsi="Arial"/>
          <w:sz w:val="16"/>
          <w:szCs w:val="16"/>
          <w:color w:val="auto"/>
        </w:rPr>
      </w:pPr>
    </w:p>
    <w:p>
      <w:pPr>
        <w:ind w:left="5420"/>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Warrant to be executed on its behalf by one of its officers thereunto duly authorized on the date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Alam,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Notice of Exercise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CervoMed Inc.</w:t>
      </w:r>
    </w:p>
    <w:p>
      <w:pPr>
        <w:spacing w:after="0" w:line="225" w:lineRule="exact"/>
        <w:rPr>
          <w:sz w:val="20"/>
          <w:szCs w:val="20"/>
          <w:color w:val="auto"/>
        </w:rPr>
      </w:pPr>
    </w:p>
    <w:p>
      <w:pPr>
        <w:jc w:val="both"/>
        <w:ind w:firstLine="656"/>
        <w:spacing w:after="0" w:line="263" w:lineRule="auto"/>
        <w:tabs>
          <w:tab w:leader="none" w:pos="12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undersigned hereby irrevocably elects to purchase [_____] shares of Common Stock of CervoMed Inc. pursuant to the terms of the attached Warrant, and tenders herewith payment of the purchase price of such shares in full, by cash, certified check/wire transfer/surrender of the originally executed Warrant.</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said shares in the name of the undersigned or in such other name or names as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ind w:firstLine="656"/>
        <w:spacing w:after="0" w:line="277" w:lineRule="auto"/>
        <w:tabs>
          <w:tab w:leader="none" w:pos="11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Please issue a new Warrant of equivalent form and tenor for the unexercised portion of the attached Warrant in the name of the undersigned or in such other name as is specified below:</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00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28117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2811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206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REPRESENTATION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CervoMed Inc.</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purchase of the above-listed securities (the “Securities”), the undersigned (the “Purchaser”) represents to the Company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56"/>
        <w:spacing w:after="0" w:line="259" w:lineRule="auto"/>
        <w:tabs>
          <w:tab w:leader="none" w:pos="14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is aware of the Company’s business affairs and financial condition, and has acquired sufficient information about the Company to reach an informed and knowledgeable decision to acquire the Securities. The Purchaser is purchasing the Securities for its own account for investment purposes only and not with a view to, or for the resale in connection with, any “distribution” thereof for purposes of the Securities Act of 1933, as amended (the “Act”).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3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understands that the Securities have not been registered under the Act in reliance upon a specific exemption therefrom, which exemption depends upon, among other things, the bona fide nature of the Purchaser’s investment intent as expressed herein. In this connection, the Purchaser understands that, in the view of the Securities and Exchange Commission (“SEC”), the statutory basis for such exemption may be unavailable if the Purchaser’s representation was predicated solely upon a present intention to hold these Securities for the minimum capital gains period specified under applicable tax laws, for a deferred sale, for or until an increase or decrease in the market price of the Securities, or for a period of one year or any other fixed period in the future.</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3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further understands that the Securities must be held indefinitely unless subsequently registered under the Act or unless an exemption from registration is otherwise available. In addition, the Purchaser understands that the certificate evidencing the Securities will be imprinted with the legend referred to in the Warrant under which the Securities are being purchased.</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Purchaser is aware of the provisions of Rule 144 and 144A, promulgated under the Act, which, in substance, permit limited public resale of “restricted securities” acquired, directly or indirectly, from the issuer thereof (or from an affiliate of such issuer), in a non-public offering subject to the satisfaction of certain conditions, if applicable, including, among other things: The availability of certain public information about the Company, the resale occurring not less than one (1) year after the party has purchased and paid for the securities to be sold; the sale being made through a broker in an unsolicited “broker’s transaction” or in transactions directly with a market maker (as said term is defined under the Securities Exchange Act of 1934, as amended) and the amount of securities being sold during any three-month period not exceeding the specified limitations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left="-656" w:firstLine="656"/>
        <w:spacing w:after="0" w:line="259" w:lineRule="auto"/>
        <w:tabs>
          <w:tab w:leader="none" w:pos="61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further understands that at the time it wishes to sell the Securities there may be no public market upon which to make such a sale, and that, even if such a public market then exists, the Company may not be satisfying the current public information requirements of Rule 144 and 144A, and that, in such event, the Purchaser may be precluded from selling the Securities under Rule 144 and 144A even if the one-year minimum holding period had been satisfied.</w:t>
      </w:r>
    </w:p>
    <w:p>
      <w:pPr>
        <w:spacing w:after="0" w:line="186" w:lineRule="exact"/>
        <w:rPr>
          <w:rFonts w:ascii="Arial" w:cs="Arial" w:eastAsia="Arial" w:hAnsi="Arial"/>
          <w:sz w:val="18"/>
          <w:szCs w:val="18"/>
          <w:color w:val="auto"/>
        </w:rPr>
      </w:pPr>
    </w:p>
    <w:p>
      <w:pPr>
        <w:jc w:val="both"/>
        <w:ind w:left="-656" w:firstLine="656"/>
        <w:spacing w:after="0" w:line="275" w:lineRule="auto"/>
        <w:tabs>
          <w:tab w:leader="none" w:pos="63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Purchaser further understands that in the event all of the requirements of Rule 144 and 144A are not satisfied, registration under the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or proof in establishing that an exemption from registration is available for such offers or sales, and that such persons and their respective brokers who participate in such transactions do so at their own risk.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374650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-10160</wp:posOffset>
            </wp:positionV>
            <wp:extent cx="1942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0" w:type="dxa"/>
            <w:vAlign w:val="bottom"/>
            <w:gridSpan w:val="2"/>
          </w:tcPr>
          <w:p>
            <w:pPr>
              <w:ind w:left="2500"/>
              <w:spacing w:after="0"/>
              <w:rPr>
                <w:sz w:val="20"/>
                <w:szCs w:val="20"/>
                <w:color w:val="auto"/>
              </w:rPr>
            </w:pPr>
            <w:r>
              <w:rPr>
                <w:rFonts w:ascii="Arial" w:cs="Arial" w:eastAsia="Arial" w:hAnsi="Arial"/>
                <w:sz w:val="18"/>
                <w:szCs w:val="18"/>
                <w:b w:val="1"/>
                <w:bCs w:val="1"/>
                <w:color w:val="auto"/>
                <w:w w:val="98"/>
              </w:rPr>
              <w:t>APPENDIX B</w:t>
            </w:r>
          </w:p>
        </w:tc>
      </w:tr>
      <w:tr>
        <w:trPr>
          <w:trHeight w:val="453"/>
        </w:trPr>
        <w:tc>
          <w:tcPr>
            <w:tcW w:w="2200" w:type="dxa"/>
            <w:vAlign w:val="bottom"/>
            <w:gridSpan w:val="4"/>
          </w:tcPr>
          <w:p>
            <w:pPr>
              <w:spacing w:after="0"/>
              <w:rPr>
                <w:sz w:val="20"/>
                <w:szCs w:val="20"/>
                <w:color w:val="auto"/>
              </w:rPr>
            </w:pPr>
            <w:r>
              <w:rPr>
                <w:rFonts w:ascii="Arial" w:cs="Arial" w:eastAsia="Arial" w:hAnsi="Arial"/>
                <w:sz w:val="18"/>
                <w:szCs w:val="18"/>
                <w:color w:val="auto"/>
              </w:rPr>
              <w:t>Net Issue Election Notice</w:t>
            </w: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rPr>
              <w:t>To:</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2880" w:type="dxa"/>
            <w:vAlign w:val="bottom"/>
            <w:gridSpan w:val="2"/>
          </w:tcPr>
          <w:p>
            <w:pPr>
              <w:jc w:val="right"/>
              <w:ind w:right="237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00" w:type="dxa"/>
            <w:vAlign w:val="bottom"/>
          </w:tcPr>
          <w:p>
            <w:pPr>
              <w:jc w:val="right"/>
              <w:ind w:right="2350"/>
              <w:spacing w:after="0"/>
              <w:rPr>
                <w:sz w:val="20"/>
                <w:szCs w:val="20"/>
                <w:color w:val="auto"/>
              </w:rPr>
            </w:pPr>
            <w:r>
              <w:rPr>
                <w:rFonts w:ascii="Arial" w:cs="Arial" w:eastAsia="Arial" w:hAnsi="Arial"/>
                <w:sz w:val="18"/>
                <w:szCs w:val="18"/>
                <w:color w:val="auto"/>
                <w:w w:val="78"/>
              </w:rPr>
              <w:t>]</w:t>
            </w:r>
          </w:p>
        </w:tc>
        <w:tc>
          <w:tcPr>
            <w:tcW w:w="11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elects under Section [__] of this Warrant to surrender the right to purchase [______________]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Warrant and hereby requests the issuance of [______________] shares of Common Stock. The certificate(s) for the shares issuable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net issue election shall be issued in the name of the undersigned or as otherwise indicated below.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WARRANT HAS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ANY OTHER SECURITIES LAWS AND MAY NOT BE OFFERED FOR SALE, SOLD, DELIVERED AFTER SALE, TRANSFERRED, PLEDGED OR HYPOTHECATED IN THE ABSENCE OF (1) AN EFFECTIVE REGISTRATION STATEMENT COVERING THIS WARRANT UNDER THE ACT AND ANY OTHER APPLICABLE SECURITIES LAWS, OR (2) AN OPINION OF COUNSEL REASONABLY SATISFACTORY TO THE COMPANY THAT SUCH REGISTRATION IS NOT REQUIRED.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CERVOMED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COMMON STOCK</w:t>
      </w:r>
    </w:p>
    <w:p>
      <w:pPr>
        <w:spacing w:after="0" w:line="225" w:lineRule="exact"/>
        <w:rPr>
          <w:sz w:val="20"/>
          <w:szCs w:val="20"/>
          <w:color w:val="auto"/>
        </w:rPr>
      </w:pPr>
    </w:p>
    <w:p>
      <w:pPr>
        <w:ind w:left="660"/>
        <w:spacing w:after="0"/>
        <w:tabs>
          <w:tab w:leader="none" w:pos="8980" w:val="left"/>
        </w:tabs>
        <w:rPr>
          <w:sz w:val="20"/>
          <w:szCs w:val="20"/>
          <w:color w:val="auto"/>
        </w:rPr>
      </w:pPr>
      <w:r>
        <w:rPr>
          <w:rFonts w:ascii="Arial" w:cs="Arial" w:eastAsia="Arial" w:hAnsi="Arial"/>
          <w:sz w:val="18"/>
          <w:szCs w:val="18"/>
          <w:b w:val="1"/>
          <w:bCs w:val="1"/>
          <w:color w:val="auto"/>
        </w:rPr>
        <w:t>________________</w:t>
      </w:r>
      <w:r>
        <w:rPr>
          <w:sz w:val="20"/>
          <w:szCs w:val="20"/>
          <w:color w:val="auto"/>
        </w:rPr>
        <w:tab/>
      </w:r>
      <w:r>
        <w:rPr>
          <w:rFonts w:ascii="Arial" w:cs="Arial" w:eastAsia="Arial" w:hAnsi="Arial"/>
          <w:sz w:val="18"/>
          <w:szCs w:val="18"/>
          <w:b w:val="1"/>
          <w:bCs w:val="1"/>
          <w:color w:val="auto"/>
        </w:rPr>
        <w:t>Warrant No. 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CervoMed Inc.</w:t>
      </w:r>
      <w:r>
        <w:rPr>
          <w:rFonts w:ascii="Arial" w:cs="Arial" w:eastAsia="Arial" w:hAnsi="Arial"/>
          <w:sz w:val="16"/>
          <w:szCs w:val="16"/>
          <w:color w:val="auto"/>
        </w:rPr>
        <w:t>,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hereby certifies that </w:t>
      </w:r>
      <w:r>
        <w:rPr>
          <w:rFonts w:ascii="Arial" w:cs="Arial" w:eastAsia="Arial" w:hAnsi="Arial"/>
          <w:sz w:val="16"/>
          <w:szCs w:val="16"/>
          <w:b w:val="1"/>
          <w:bCs w:val="1"/>
          <w:color w:val="auto"/>
        </w:rPr>
        <w:t>____________</w:t>
      </w:r>
      <w:r>
        <w:rPr>
          <w:rFonts w:ascii="Arial" w:cs="Arial" w:eastAsia="Arial" w:hAnsi="Arial"/>
          <w:sz w:val="16"/>
          <w:szCs w:val="16"/>
          <w:color w:val="auto"/>
        </w:rPr>
        <w:t>, a _______________, or its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registered transferees, successors or assigns (each person or entity holding all or part of this Warrant being referred to as a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the registered holder of warrants (the “</w:t>
      </w:r>
      <w:r>
        <w:rPr>
          <w:rFonts w:ascii="Arial" w:cs="Arial" w:eastAsia="Arial" w:hAnsi="Arial"/>
          <w:sz w:val="16"/>
          <w:szCs w:val="16"/>
          <w:b w:val="1"/>
          <w:bCs w:val="1"/>
          <w:u w:val="single" w:color="auto"/>
          <w:color w:val="auto"/>
        </w:rPr>
        <w:t>Warrants</w:t>
      </w:r>
      <w:r>
        <w:rPr>
          <w:rFonts w:ascii="Arial" w:cs="Arial" w:eastAsia="Arial" w:hAnsi="Arial"/>
          <w:sz w:val="16"/>
          <w:szCs w:val="16"/>
          <w:color w:val="auto"/>
        </w:rPr>
        <w:t>”) to subscribe for and purchase _______________ (_____) shares (as adjusted pursuant to Section 3 hereof, the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Warrant Shares</w:t>
      </w:r>
      <w:r>
        <w:rPr>
          <w:rFonts w:ascii="Arial" w:cs="Arial" w:eastAsia="Arial" w:hAnsi="Arial"/>
          <w:sz w:val="16"/>
          <w:szCs w:val="16"/>
          <w:color w:val="auto"/>
        </w:rPr>
        <w:t>”) of the fully paid and nonassessable common stock, $0.001 par value per share, of the Company, at a purchase price per share initially equal to _____________ ($___) (the “</w:t>
      </w:r>
      <w:r>
        <w:rPr>
          <w:rFonts w:ascii="Arial" w:cs="Arial" w:eastAsia="Arial" w:hAnsi="Arial"/>
          <w:sz w:val="16"/>
          <w:szCs w:val="16"/>
          <w:b w:val="1"/>
          <w:bCs w:val="1"/>
          <w:u w:val="single" w:color="auto"/>
          <w:color w:val="auto"/>
        </w:rPr>
        <w:t>Warrant Price</w:t>
      </w:r>
      <w:r>
        <w:rPr>
          <w:rFonts w:ascii="Arial" w:cs="Arial" w:eastAsia="Arial" w:hAnsi="Arial"/>
          <w:sz w:val="16"/>
          <w:szCs w:val="16"/>
          <w:color w:val="auto"/>
        </w:rPr>
        <w:t>”) on or before, 5:00 P.M. Eastern Time, on April 2, 2028 (the “</w:t>
      </w:r>
      <w:r>
        <w:rPr>
          <w:rFonts w:ascii="Arial" w:cs="Arial" w:eastAsia="Arial" w:hAnsi="Arial"/>
          <w:sz w:val="16"/>
          <w:szCs w:val="16"/>
          <w:b w:val="1"/>
          <w:bCs w:val="1"/>
          <w:u w:val="single" w:color="auto"/>
          <w:color w:val="auto"/>
        </w:rPr>
        <w:t>Expiration Date</w:t>
      </w:r>
      <w:r>
        <w:rPr>
          <w:rFonts w:ascii="Arial" w:cs="Arial" w:eastAsia="Arial" w:hAnsi="Arial"/>
          <w:sz w:val="16"/>
          <w:szCs w:val="16"/>
          <w:color w:val="auto"/>
        </w:rPr>
        <w:t>”), subject to the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provisions and upon the terms and conditions hereinafter set forth;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any portion of this Warrant is unexercised as of the Expiration Date, the terms of below shall apply. As used in this Warrant, the term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means any day other than a Saturday or Sunday on which commercial banks located in New York, New York are open for the general transaction of business.</w:t>
      </w:r>
    </w:p>
    <w:p>
      <w:pPr>
        <w:spacing w:after="0" w:line="173"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380"/>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806"/>
        <w:spacing w:after="0" w:line="289" w:lineRule="auto"/>
        <w:tabs>
          <w:tab w:leader="none" w:pos="1830"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Subject to the provisions hereof, the Holder may exercise this Warrant, in whole or in part and from time to time, by the surrender of this Warrant (with the Notice of Exercise attached hereto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duly executed) at the principal office of the Company, or such other office or agency of the Company as it may reasonably designate by written notice to the Holder, during normal business hours on any Business Day, and the payment by the Holder by cash, certified check payable to the Company or wire transfer of immediately available funds to an account designated to the exercising Holder by the Company of an amount equal to the then applicable Warrant Price multiplied by the number of Warrant Shares then being purchased, or in the event of a cashless exercise pursuant to Section 1(c) below, with the Net Issue Election Notice attached hereto as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 xml:space="preserve"> duly executed and completed. On the date on which the Holder shall have satisfied in full the Holder’s obligations set forth herein regarding an exercise of this Warrant (provided such date is prior to the Expiration Date), the Holder (or such other person or persons as directed by the Holder) shall be treated for all purposes as the holder of record of such Warrant Shares as of the close of business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left="660" w:firstLine="806"/>
        <w:spacing w:after="0" w:line="255" w:lineRule="auto"/>
        <w:tabs>
          <w:tab w:leader="none" w:pos="19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of any exercise of the rights represented by this Warrant, certificates for the whole number of shares of Common Stock so purchased shall be delivered to the Holder (or such other person or persons as directed by the Holder) as promptly as is reasonably practicable (but not later than three (3) Business Days) after such exercise at the Company’s expense, and, unless this Warrant has been fully exercised, a new Warrant representing the whole number of Warrant Shares, if any, with respect to which this Warrant shall not then have been exercised shall also be issued to the Holder as soon as reasonably practicable thereafter, (but not later than three (3) Business Days), after such exercise.</w:t>
      </w:r>
    </w:p>
    <w:p>
      <w:pPr>
        <w:spacing w:after="0" w:line="192" w:lineRule="exact"/>
        <w:rPr>
          <w:rFonts w:ascii="Arial" w:cs="Arial" w:eastAsia="Arial" w:hAnsi="Arial"/>
          <w:sz w:val="18"/>
          <w:szCs w:val="18"/>
          <w:color w:val="auto"/>
        </w:rPr>
      </w:pPr>
    </w:p>
    <w:p>
      <w:pPr>
        <w:jc w:val="both"/>
        <w:ind w:firstLine="980"/>
        <w:spacing w:after="0" w:line="287" w:lineRule="auto"/>
        <w:tabs>
          <w:tab w:leader="none" w:pos="1389"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Automatic Exercise</w:t>
      </w:r>
      <w:r>
        <w:rPr>
          <w:rFonts w:ascii="Arial" w:cs="Arial" w:eastAsia="Arial" w:hAnsi="Arial"/>
          <w:sz w:val="16"/>
          <w:szCs w:val="16"/>
          <w:color w:val="auto"/>
        </w:rPr>
        <w:t>. If any portion of this Warrant remains unexercised as of either (i) the Expiration Date or (ii) the expiration of the Mandatory Exercise Period and, in either such case, the Fair Market Value (as defined below) of one share of Common Stock as of the such date is greater than the applicable Warrant Price as of the such date, then this Warrant shall be deemed to have been exercised automatically immediately prior to the close of business (i) on the Expiration Date (or, in the event that the Expiration Date is not a Business Day, the immediately preceding Business Day) or (ii) immediately prior to the expiration of the Mandatory Exercise Period, as applicable (the “</w:t>
      </w:r>
      <w:r>
        <w:rPr>
          <w:rFonts w:ascii="Arial" w:cs="Arial" w:eastAsia="Arial" w:hAnsi="Arial"/>
          <w:sz w:val="16"/>
          <w:szCs w:val="16"/>
          <w:b w:val="1"/>
          <w:bCs w:val="1"/>
          <w:u w:val="single" w:color="auto"/>
          <w:color w:val="auto"/>
        </w:rPr>
        <w:t>Automatic Exercise Date</w:t>
      </w:r>
      <w:r>
        <w:rPr>
          <w:rFonts w:ascii="Arial" w:cs="Arial" w:eastAsia="Arial" w:hAnsi="Arial"/>
          <w:sz w:val="16"/>
          <w:szCs w:val="16"/>
          <w:color w:val="auto"/>
        </w:rPr>
        <w:t>”), in the manner provided in Section 1(c) below, and the Holder (or such other person or persons as directed by the Holder) shall be treated for all purposes as the holder of record of such Warrant Shares as of the close of business on such Automatic Exercise Date. This Warrant shall be deemed to be surrendered to the Company on the Automatic Exercise Date by virtue of this Section 1(b) without any action by the Holder. As promptly as is reasonably practicable on or after the Automatic Exercise Date, but in no event prior to the date on which this Warrant is surrendered to the Company at the principal office of the Company, or such other office or agency of the Company as it may reasonably designate by written notice to the Holder, during normal business hours on any Business Day, the Company at its expense shall issue and deliver to the Holder (or such other person or persons as directed by the Holder) a certificate or certificates for the number of Warrant Shares issuable upon such exercise, in accordance with Section 1(c).</w:t>
      </w:r>
    </w:p>
    <w:p>
      <w:pPr>
        <w:spacing w:after="0" w:line="167" w:lineRule="exact"/>
        <w:rPr>
          <w:rFonts w:ascii="Arial" w:cs="Arial" w:eastAsia="Arial" w:hAnsi="Arial"/>
          <w:sz w:val="16"/>
          <w:szCs w:val="16"/>
          <w:color w:val="auto"/>
        </w:rPr>
      </w:pPr>
    </w:p>
    <w:p>
      <w:pPr>
        <w:jc w:val="both"/>
        <w:ind w:firstLine="980"/>
        <w:spacing w:after="0" w:line="293" w:lineRule="auto"/>
        <w:tabs>
          <w:tab w:leader="none" w:pos="140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Cashless Right to Convert Warrant into Common Stock</w:t>
      </w:r>
      <w:r>
        <w:rPr>
          <w:rFonts w:ascii="Arial" w:cs="Arial" w:eastAsia="Arial" w:hAnsi="Arial"/>
          <w:sz w:val="16"/>
          <w:szCs w:val="16"/>
          <w:color w:val="auto"/>
        </w:rPr>
        <w:t xml:space="preserve">. In addition to and without limiting the rights of the Holder hereof under the terms of this Warrant, the Holder may elect to receive, without the payment by the Holder of the Warrant Price, Warrant Shares equal to the value of this Warrant or any portion hereof by the surrender of this Warrant (or such portion of this Warrant being so exercised) together with the Net Issue Election Notice annexed hereto as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 xml:space="preserve"> duly executed and completed, at the office of the Company, or such other office or agency of the Company as it may reasonably designate by written notice to the Holder, during normal business hours on any Business Day. Thereupon, the Company shall issue to the Holder such number of fully paid, validly issued and nonassessable Warrant Shares, as is computed using the following formula: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Y(A-B)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the number of shares of Common Stock to be issued to the Holder (or such other person or persons as directed by the Holder) upon such exercise of the rights under this Section 1(c)</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total number of shares of Common Stock covered by this Warrant which the Holder has surrendered for cashless exercise</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the “Fair Market Value” of one share of Common Stock on the date that the Holder delivers the Net Issue Election Notice to the Company as provided herein</w:t>
      </w:r>
    </w:p>
    <w:p>
      <w:pPr>
        <w:spacing w:after="0" w:line="170"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8"/>
          <w:szCs w:val="18"/>
          <w:color w:val="auto"/>
        </w:rPr>
        <w:t>the Warrant Price in effect under this Warrant on the date that the Holder delivers the Net Issue Election Notice to the Company as provided herein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of a share of Common Stock as of a particular date (the “</w:t>
      </w:r>
      <w:r>
        <w:rPr>
          <w:rFonts w:ascii="Arial" w:cs="Arial" w:eastAsia="Arial" w:hAnsi="Arial"/>
          <w:sz w:val="18"/>
          <w:szCs w:val="18"/>
          <w:b w:val="1"/>
          <w:bCs w:val="1"/>
          <w:u w:val="single" w:color="auto"/>
          <w:color w:val="auto"/>
        </w:rPr>
        <w:t>Valuation Date</w:t>
      </w:r>
      <w:r>
        <w:rPr>
          <w:rFonts w:ascii="Arial" w:cs="Arial" w:eastAsia="Arial" w:hAnsi="Arial"/>
          <w:sz w:val="18"/>
          <w:szCs w:val="18"/>
          <w:color w:val="auto"/>
        </w:rPr>
        <w:t>”) shall mean the following: (y) if the Common Stock is then listed on a stock exchange or quoted on a quotation system, the closing sale price of one share of Common Stock on such exchange or system on the last trading day prior to the Valuation Date; or (z) if the Common Stock is not then listed on a stock exchange or quoted on a quotation system, the Fair Market Value of one share of Common Stock as of the Valuation Date shall be determined by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in its reasonable and good faith judgment. The Board shall respond promptly in writing to an inquiry by the Holder prior to the exercise hereunder as to the Fair Market Value of a share of Common Stock.</w:t>
      </w:r>
    </w:p>
    <w:p>
      <w:pPr>
        <w:spacing w:after="0" w:line="191" w:lineRule="exact"/>
        <w:rPr>
          <w:sz w:val="20"/>
          <w:szCs w:val="20"/>
          <w:color w:val="auto"/>
        </w:rPr>
      </w:pPr>
    </w:p>
    <w:p>
      <w:pPr>
        <w:jc w:val="both"/>
        <w:ind w:firstLine="980"/>
        <w:spacing w:after="0" w:line="287" w:lineRule="auto"/>
        <w:tabs>
          <w:tab w:leader="none" w:pos="148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So long as this Warrant shall be outstanding, if the Company proposes to enter into a Mandatory Exercise Transaction (as hereinafter defined), then in any such case, the Company shall cause to be mailed by certified mail to the Holder, at least twenty (20) days prior to the date such proposed Mandatory Exercise Transaction is to be effectuated, a notice containing (i) a brief description of the proposed Mandatory Exercise Transaction; and (ii) the date upon which such proposed Mandatory Exercise Transaction is to take place. The failure to give such notice, however, shall not affect the validity of any proposed Mandatory Exercise Transaction for which the notice was required to be given but shall relieve the Holder of its obligation to exercise the Warrant pursuant to this provision. During the period beginning on the date of Holder’s receipt of such notice and ending on the date which is two (2) days prior to the date upon which such proposed Mandatory Exercise Transaction is to take place, as set forth in the notice (the “</w:t>
      </w:r>
      <w:r>
        <w:rPr>
          <w:rFonts w:ascii="Arial" w:cs="Arial" w:eastAsia="Arial" w:hAnsi="Arial"/>
          <w:sz w:val="16"/>
          <w:szCs w:val="16"/>
          <w:b w:val="1"/>
          <w:bCs w:val="1"/>
          <w:u w:val="single" w:color="auto"/>
          <w:color w:val="auto"/>
        </w:rPr>
        <w:t>Mandatory Exercise Period</w:t>
      </w:r>
      <w:r>
        <w:rPr>
          <w:rFonts w:ascii="Arial" w:cs="Arial" w:eastAsia="Arial" w:hAnsi="Arial"/>
          <w:sz w:val="16"/>
          <w:szCs w:val="16"/>
          <w:color w:val="auto"/>
        </w:rPr>
        <w:t>”), Holder must exercise its right, in accordance with all applicable conditions of exercise set forth in this Warrant, to purchase Warrant Shares which Holder is entitled to purchase hereunder, and if Holder fails to so exercise such right within the Mandatory Exercise Period (unless the Company has failed to give the notice required hereunder), all Warrant Shares for which Holder has not exercised its right to receive hereunder shall expire. For purposes hereof, a “</w:t>
      </w:r>
      <w:r>
        <w:rPr>
          <w:rFonts w:ascii="Arial" w:cs="Arial" w:eastAsia="Arial" w:hAnsi="Arial"/>
          <w:sz w:val="16"/>
          <w:szCs w:val="16"/>
          <w:b w:val="1"/>
          <w:bCs w:val="1"/>
          <w:u w:val="single" w:color="auto"/>
          <w:color w:val="auto"/>
        </w:rPr>
        <w:t>Mandatory Exercise Transaction</w:t>
      </w:r>
      <w:r>
        <w:rPr>
          <w:rFonts w:ascii="Arial" w:cs="Arial" w:eastAsia="Arial" w:hAnsi="Arial"/>
          <w:sz w:val="16"/>
          <w:szCs w:val="16"/>
          <w:color w:val="auto"/>
        </w:rPr>
        <w:t>” shall mean any of the following:</w:t>
      </w:r>
    </w:p>
    <w:p>
      <w:pPr>
        <w:spacing w:after="0" w:line="171" w:lineRule="exact"/>
        <w:rPr>
          <w:rFonts w:ascii="Arial" w:cs="Arial" w:eastAsia="Arial" w:hAnsi="Arial"/>
          <w:sz w:val="16"/>
          <w:szCs w:val="16"/>
          <w:color w:val="auto"/>
        </w:rPr>
      </w:pPr>
    </w:p>
    <w:p>
      <w:pPr>
        <w:ind w:left="660" w:firstLine="806"/>
        <w:spacing w:after="0" w:line="308" w:lineRule="auto"/>
        <w:tabs>
          <w:tab w:leader="none" w:pos="183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merger or consolidation of the Company with or into any corporation or other entity that is not a wholly-owned subsidiary of the Company, other than a merger in which the Company or a wholly-owned subsidiary of the Company is the surviving entity; or</w:t>
      </w:r>
    </w:p>
    <w:p>
      <w:pPr>
        <w:spacing w:after="0" w:line="362" w:lineRule="exact"/>
        <w:rPr>
          <w:rFonts w:ascii="Arial" w:cs="Arial" w:eastAsia="Arial" w:hAnsi="Arial"/>
          <w:sz w:val="17"/>
          <w:szCs w:val="17"/>
          <w:color w:val="auto"/>
        </w:rPr>
      </w:pPr>
    </w:p>
    <w:p>
      <w:pPr>
        <w:ind w:left="5580" w:hanging="106"/>
        <w:spacing w:after="0"/>
        <w:tabs>
          <w:tab w:leader="none" w:pos="55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left="-320" w:firstLine="806"/>
        <w:spacing w:after="0" w:line="277"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sale, exclusive license or other disposition of all or substantially all of the assets of the Company to a person or entity other than a wholly-owned subsidiary of the Company.</w:t>
      </w:r>
    </w:p>
    <w:p>
      <w:pPr>
        <w:spacing w:after="0" w:line="170" w:lineRule="exact"/>
        <w:rPr>
          <w:rFonts w:ascii="Arial" w:cs="Arial" w:eastAsia="Arial" w:hAnsi="Arial"/>
          <w:sz w:val="18"/>
          <w:szCs w:val="18"/>
          <w:color w:val="auto"/>
        </w:rPr>
      </w:pPr>
    </w:p>
    <w:p>
      <w:pPr>
        <w:ind w:left="380" w:hanging="380"/>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Holder’s Exercise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0" w:firstLine="806"/>
        <w:spacing w:after="0" w:line="283" w:lineRule="auto"/>
        <w:tabs>
          <w:tab w:leader="none" w:pos="9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Arial" w:cs="Arial" w:eastAsia="Arial" w:hAnsi="Arial"/>
          <w:sz w:val="16"/>
          <w:szCs w:val="16"/>
          <w:b w:val="1"/>
          <w:bCs w:val="1"/>
          <w:u w:val="single" w:color="auto"/>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1(e). For purposes of this Section 1(e), beneficial ownership shall be calculated in accordance with Section 13(d) of the Securities Exchange Act of 1934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most recent public filing with the Securities and Exchange Commission, as the case may be, (y) a more recent public announcement by the Company or (z) any other current written notice by the Company setting forth the number of shares of Common Stock outstanding (the “</w:t>
      </w:r>
      <w:r>
        <w:rPr>
          <w:rFonts w:ascii="Arial" w:cs="Arial" w:eastAsia="Arial" w:hAnsi="Arial"/>
          <w:sz w:val="16"/>
          <w:szCs w:val="16"/>
          <w:b w:val="1"/>
          <w:bCs w:val="1"/>
          <w:u w:val="single" w:color="auto"/>
          <w:color w:val="auto"/>
        </w:rPr>
        <w:t>Reported Outstanding Share Number</w:t>
      </w:r>
      <w:r>
        <w:rPr>
          <w:rFonts w:ascii="Arial" w:cs="Arial" w:eastAsia="Arial" w:hAnsi="Arial"/>
          <w:sz w:val="16"/>
          <w:szCs w:val="16"/>
          <w:color w:val="auto"/>
        </w:rPr>
        <w:t>”). For any reason at any time, upon the written request of the Holder, the Company shall within five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u w:val="single" w:color="auto"/>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of the issued and outstanding shares of Common Stock immediately after giving effect to the issuance of the shares of Common Stock issuable upon exercise of this Warrant) as specified in such notice; provided that (i) any such increase in the Maximum Percentage will not be effective until the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 contained in this paragraph may not be waived and shall apply to a successor holder of this Warrant.</w:t>
      </w:r>
    </w:p>
    <w:p>
      <w:pPr>
        <w:spacing w:after="0" w:line="388" w:lineRule="exact"/>
        <w:rPr>
          <w:rFonts w:ascii="Arial" w:cs="Arial" w:eastAsia="Arial" w:hAnsi="Arial"/>
          <w:sz w:val="16"/>
          <w:szCs w:val="16"/>
          <w:color w:val="auto"/>
        </w:rPr>
      </w:pPr>
    </w:p>
    <w:p>
      <w:pPr>
        <w:ind w:left="4600" w:hanging="106"/>
        <w:spacing w:after="0"/>
        <w:tabs>
          <w:tab w:leader="none" w:pos="46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59" w:name="page60"/>
    <w:bookmarkEnd w:id="59"/>
    <w:p>
      <w:pPr>
        <w:ind w:left="1204" w:hanging="394"/>
        <w:spacing w:after="0"/>
        <w:tabs>
          <w:tab w:leader="none" w:pos="1204" w:val="left"/>
        </w:tabs>
        <w:numPr>
          <w:ilvl w:val="2"/>
          <w:numId w:val="70"/>
        </w:numPr>
        <w:rPr>
          <w:rFonts w:ascii="Arial" w:cs="Arial" w:eastAsia="Arial" w:hAnsi="Arial"/>
          <w:sz w:val="18"/>
          <w:szCs w:val="18"/>
          <w:color w:val="auto"/>
        </w:rPr>
      </w:pPr>
      <w:r>
        <w:rPr>
          <w:rFonts w:ascii="Arial" w:cs="Arial" w:eastAsia="Arial" w:hAnsi="Arial"/>
          <w:sz w:val="18"/>
          <w:szCs w:val="18"/>
          <w:color w:val="auto"/>
        </w:rPr>
        <w:t>For purposes of this Section 1(e):</w:t>
      </w:r>
    </w:p>
    <w:p>
      <w:pPr>
        <w:spacing w:after="0" w:line="221" w:lineRule="exact"/>
        <w:rPr>
          <w:rFonts w:ascii="Arial" w:cs="Arial" w:eastAsia="Arial" w:hAnsi="Arial"/>
          <w:sz w:val="18"/>
          <w:szCs w:val="18"/>
          <w:color w:val="auto"/>
        </w:rPr>
      </w:pPr>
    </w:p>
    <w:p>
      <w:pPr>
        <w:ind w:left="-656" w:right="20" w:firstLine="1952"/>
        <w:spacing w:after="0" w:line="282" w:lineRule="auto"/>
        <w:tabs>
          <w:tab w:leader="none" w:pos="1458" w:val="left"/>
        </w:tabs>
        <w:numPr>
          <w:ilvl w:val="3"/>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left="-656" w:firstLine="1952"/>
        <w:spacing w:after="0" w:line="255" w:lineRule="auto"/>
        <w:tabs>
          <w:tab w:leader="none" w:pos="1468" w:val="left"/>
        </w:tabs>
        <w:numPr>
          <w:ilvl w:val="3"/>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Attribution Parties</w:t>
      </w:r>
      <w:r>
        <w:rPr>
          <w:rFonts w:ascii="Arial" w:cs="Arial" w:eastAsia="Arial" w:hAnsi="Arial"/>
          <w:sz w:val="18"/>
          <w:szCs w:val="18"/>
          <w:color w:val="auto"/>
        </w:rPr>
        <w:t>” means collectively, the following Persons and entities: (i) any investment vehicle, including, any funds, feeder funds or managed accounts, currently, or from time to time after the date of issuance of this Warrant,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 (as defined in Section 1(e)).</w:t>
      </w:r>
    </w:p>
    <w:p>
      <w:pPr>
        <w:spacing w:after="0" w:line="188" w:lineRule="exact"/>
        <w:rPr>
          <w:rFonts w:ascii="Arial" w:cs="Arial" w:eastAsia="Arial" w:hAnsi="Arial"/>
          <w:sz w:val="18"/>
          <w:szCs w:val="18"/>
          <w:color w:val="auto"/>
        </w:rPr>
      </w:pPr>
    </w:p>
    <w:p>
      <w:pPr>
        <w:ind w:left="1464" w:hanging="168"/>
        <w:spacing w:after="0"/>
        <w:tabs>
          <w:tab w:leader="none" w:pos="1464" w:val="left"/>
        </w:tabs>
        <w:numPr>
          <w:ilvl w:val="3"/>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Group</w:t>
      </w:r>
      <w:r>
        <w:rPr>
          <w:rFonts w:ascii="Arial" w:cs="Arial" w:eastAsia="Arial" w:hAnsi="Arial"/>
          <w:sz w:val="16"/>
          <w:szCs w:val="16"/>
          <w:color w:val="auto"/>
        </w:rPr>
        <w:t>” means a “group” as that term is used in Section 13(d) of the Exchange Act and as defined in Rule 13d-5 thereunder.</w:t>
      </w:r>
    </w:p>
    <w:p>
      <w:pPr>
        <w:spacing w:after="0" w:line="252" w:lineRule="exact"/>
        <w:rPr>
          <w:rFonts w:ascii="Arial" w:cs="Arial" w:eastAsia="Arial" w:hAnsi="Arial"/>
          <w:sz w:val="16"/>
          <w:szCs w:val="16"/>
          <w:color w:val="auto"/>
        </w:rPr>
      </w:pPr>
    </w:p>
    <w:p>
      <w:pPr>
        <w:jc w:val="both"/>
        <w:ind w:left="-656" w:firstLine="656"/>
        <w:spacing w:after="0" w:line="254" w:lineRule="auto"/>
        <w:tabs>
          <w:tab w:leader="none" w:pos="38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Reservation of Shares; Stock Fully Paid; Listing</w:t>
      </w:r>
      <w:r>
        <w:rPr>
          <w:rFonts w:ascii="Arial" w:cs="Arial" w:eastAsia="Arial" w:hAnsi="Arial"/>
          <w:sz w:val="18"/>
          <w:szCs w:val="18"/>
          <w:color w:val="auto"/>
        </w:rPr>
        <w:t>. The Company shall keep reserved a sufficient number of shares of the authorized and unissued shares of Common Stock, to provide for the exercise of the rights of purchase represented by this Warrant in compliance with its terms. All Warrant Shares issued upon exercise of this Warrant shall be, at the time of delivery of the certificates for such Warrant Shares upon payment in full of the Exercise Price therefor in accordance with the terms of this Warrant (or proper exercise of the cashless exercise rights contained in Section 3(c) hereof), duly authorized, validly issued, fully paid and non-assessable shares of Common Stock of the Company. The Company shall during all times prior to the Expiration Date when the shares of Common Stock issuable upon the exercise of this Warrant are authorized for quotation or listing on a stock exchange or quotation system, keep the shares of Common Stock issuable upon the exercise of this Warrant authorized for quotation such exchange or system, as the case may be.</w:t>
      </w:r>
    </w:p>
    <w:p>
      <w:pPr>
        <w:spacing w:after="0" w:line="191" w:lineRule="exact"/>
        <w:rPr>
          <w:rFonts w:ascii="Arial" w:cs="Arial" w:eastAsia="Arial" w:hAnsi="Arial"/>
          <w:sz w:val="18"/>
          <w:szCs w:val="18"/>
          <w:color w:val="auto"/>
        </w:rPr>
      </w:pPr>
    </w:p>
    <w:p>
      <w:pPr>
        <w:ind w:left="-656" w:right="20" w:firstLine="656"/>
        <w:spacing w:after="0" w:line="277" w:lineRule="auto"/>
        <w:tabs>
          <w:tab w:leader="none" w:pos="33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Adjustments and Distributions</w:t>
      </w:r>
      <w:r>
        <w:rPr>
          <w:rFonts w:ascii="Arial" w:cs="Arial" w:eastAsia="Arial" w:hAnsi="Arial"/>
          <w:sz w:val="18"/>
          <w:szCs w:val="18"/>
          <w:color w:val="auto"/>
        </w:rPr>
        <w:t>. The number and kind of securities purchasable upon the exercise of this Warrant and the Warrant Price shall be subject to adjustment from time to time upon the occurrence of certain events, as follows:</w:t>
      </w:r>
    </w:p>
    <w:p>
      <w:pPr>
        <w:spacing w:after="0" w:line="170" w:lineRule="exact"/>
        <w:rPr>
          <w:rFonts w:ascii="Arial" w:cs="Arial" w:eastAsia="Arial" w:hAnsi="Arial"/>
          <w:sz w:val="18"/>
          <w:szCs w:val="18"/>
          <w:color w:val="auto"/>
        </w:rPr>
      </w:pPr>
    </w:p>
    <w:p>
      <w:pPr>
        <w:jc w:val="both"/>
        <w:ind w:left="-656" w:firstLine="980"/>
        <w:spacing w:after="0" w:line="254" w:lineRule="auto"/>
        <w:tabs>
          <w:tab w:leader="none" w:pos="709"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If the Company shall at any time or from time to time while this Warrant is outstanding, pay a dividend or make a distribution on its Common Stock in shares of Common Stock, subdivide its outstanding shares of Common Stock into a greater number of shares or combine its outstanding shares of Common Stock into a smaller number of shares, then the number of Warrant Shares purchasable upon exercise of this Warrant and the Warrant Price in effect immediately prior to the date upon which such change shall become effective shall be proportionally adjusted by the Company so that the Holder thereafter exercising this Warrant shall be entitled to receive the number of shares of Common Stock or other capital stock which the Holder would have received if this Warrant had been exercised immediately prior to such event (taking into account such event) upon payment of a Warrant Price that has been proportionally adjusted to reflect such event. Such adjustments shall be made successively whenever any event listed above shall occur.</w:t>
      </w:r>
    </w:p>
    <w:p>
      <w:pPr>
        <w:spacing w:after="0" w:line="191" w:lineRule="exact"/>
        <w:rPr>
          <w:rFonts w:ascii="Arial" w:cs="Arial" w:eastAsia="Arial" w:hAnsi="Arial"/>
          <w:sz w:val="18"/>
          <w:szCs w:val="18"/>
          <w:color w:val="auto"/>
        </w:rPr>
      </w:pPr>
    </w:p>
    <w:p>
      <w:pPr>
        <w:ind w:left="4924" w:hanging="106"/>
        <w:spacing w:after="0"/>
        <w:tabs>
          <w:tab w:leader="none" w:pos="4924" w:val="left"/>
        </w:tabs>
        <w:numPr>
          <w:ilvl w:val="4"/>
          <w:numId w:val="7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60" w:name="page61"/>
    <w:bookmarkEnd w:id="60"/>
    <w:p>
      <w:pPr>
        <w:jc w:val="both"/>
        <w:ind w:left="-980" w:firstLine="980"/>
        <w:spacing w:after="0" w:line="269" w:lineRule="auto"/>
        <w:tabs>
          <w:tab w:leader="none" w:pos="38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If any recapitalization, reclassification or reorganization of the capital stock of the Company (other than a change in par value or a subdivision or combination as provided for in Section 3(a) above) shall be effected in such a manner (including, without limitation, in connection with a consolidation or merger in which the Company is the continuing corporation), that holders of Common Stock shall be entitled to receive stock, securities, or other assets or property (a “</w:t>
      </w:r>
      <w:r>
        <w:rPr>
          <w:rFonts w:ascii="Arial" w:cs="Arial" w:eastAsia="Arial" w:hAnsi="Arial"/>
          <w:sz w:val="17"/>
          <w:szCs w:val="17"/>
          <w:b w:val="1"/>
          <w:bCs w:val="1"/>
          <w:u w:val="single" w:color="auto"/>
          <w:color w:val="auto"/>
        </w:rPr>
        <w:t>Reorganization</w:t>
      </w:r>
      <w:r>
        <w:rPr>
          <w:rFonts w:ascii="Arial" w:cs="Arial" w:eastAsia="Arial" w:hAnsi="Arial"/>
          <w:sz w:val="17"/>
          <w:szCs w:val="17"/>
          <w:color w:val="auto"/>
        </w:rPr>
        <w:t>”), then, as a condition of such Reorganization, lawful and adequate provisions shall be made by the Company whereby the Holder hereof shall thereafter have the right to purchase and receive (in lieu of the shares of the Common Stock of the Company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the event of any Reorganization, appropriate provision shall be made by the Company with respect to the rights and interests of the Holder of this Warrant to the end that the provisions hereof (including, without limitation, provisions for adjustments of the Warrant Price and of the number of Warrant Shares) shall thereafter be applicable, in relation to any shares of stock, securities or assets thereafter deliverable upon the exercise hereof. The provisions of this Section 3(b) shall similarly apply to successive Reorganizations.</w:t>
      </w:r>
    </w:p>
    <w:p>
      <w:pPr>
        <w:spacing w:after="0" w:line="178" w:lineRule="exact"/>
        <w:rPr>
          <w:rFonts w:ascii="Arial" w:cs="Arial" w:eastAsia="Arial" w:hAnsi="Arial"/>
          <w:sz w:val="17"/>
          <w:szCs w:val="17"/>
          <w:color w:val="auto"/>
        </w:rPr>
      </w:pPr>
    </w:p>
    <w:p>
      <w:pPr>
        <w:jc w:val="both"/>
        <w:ind w:left="-980" w:firstLine="980"/>
        <w:spacing w:after="0" w:line="268" w:lineRule="auto"/>
        <w:tabs>
          <w:tab w:leader="none" w:pos="42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Mergers and other Transactions</w:t>
      </w:r>
      <w:r>
        <w:rPr>
          <w:rFonts w:ascii="Arial" w:cs="Arial" w:eastAsia="Arial" w:hAnsi="Arial"/>
          <w:sz w:val="17"/>
          <w:szCs w:val="17"/>
          <w:color w:val="auto"/>
        </w:rPr>
        <w:t>. If any consolidation or merger of the Company with another entity in which the Company is not the survivor, or sale, transfer, exclusive license or other disposition of all or substantially all of the Company’s assets to another entity shall be effected, then, as a condition of such consolidation, merger, sale, transfer, exclusive license or other disposition, lawful and adequate provision shall be made whereby the Holder shall thereafter have the right to purchase and receive upon the basis and upon the terms and conditions herein specified and in lieu of the Warrant Shares immediately theretofore issuable upon exercise of this Warrant, such shares of stock, securities or assets as would have been issuable or payable with respect to or in exchange for a number of Warrant Shares equal to the number of Warrant Shares immediately theretofore issuable upon exercise of this Warrant, had such consolidation, merger, sale, transfer, exclusive license or other disposition not taken place, and in any such case appropriate provision shall be made with respect to the rights and interests of each Holder to the end that the provisions hereof (including, without limitation, provision for adjustment of the Warrant Price and of the number of Warrant Shares) shall thereafter be applicable, as nearly equivalent as may be practicable in relation to any shares of stock, securities or properties thereafter deliverable upon the exercise thereof. The Company shall not effect any such consolidation, merger, sale, transfer or other disposition unless prior to or simultaneously with the consummation thereof the successor entity (if other than the Company) resulting from such consolidation or merger, or the entity purchasing or otherwise acquiring such assets or other appropriate entity shall assume the obligation to deliver to the Holder such shares of stock, securities or assets as, in accordance with the foregoing provisions, such Holder may be entitled to purchase, and the other obligations under this Warrant. The provisions of this Section 3(c) shall similarly apply to successive consolidations, mergers, sales, transfers or other dispositions.</w:t>
      </w:r>
    </w:p>
    <w:p>
      <w:pPr>
        <w:spacing w:after="0" w:line="181" w:lineRule="exact"/>
        <w:rPr>
          <w:rFonts w:ascii="Arial" w:cs="Arial" w:eastAsia="Arial" w:hAnsi="Arial"/>
          <w:sz w:val="17"/>
          <w:szCs w:val="17"/>
          <w:color w:val="auto"/>
        </w:rPr>
      </w:pPr>
    </w:p>
    <w:p>
      <w:pPr>
        <w:ind w:left="4600" w:hanging="106"/>
        <w:spacing w:after="0"/>
        <w:tabs>
          <w:tab w:leader="none" w:pos="4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61" w:name="page62"/>
    <w:bookmarkEnd w:id="61"/>
    <w:p>
      <w:pPr>
        <w:jc w:val="both"/>
        <w:ind w:left="-980" w:firstLine="980"/>
        <w:spacing w:after="0" w:line="271" w:lineRule="auto"/>
        <w:tabs>
          <w:tab w:leader="none" w:pos="42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Price and Payment</w:t>
      </w:r>
      <w:r>
        <w:rPr>
          <w:rFonts w:ascii="Arial" w:cs="Arial" w:eastAsia="Arial" w:hAnsi="Arial"/>
          <w:sz w:val="17"/>
          <w:szCs w:val="17"/>
          <w:color w:val="auto"/>
        </w:rPr>
        <w:t>. In case the Company shall fix a payment date for the making of a distribution to all holders of Common Stock of evidences of indebtedness or assets (other than dividends or distributions referred to in Section 3(a) hereof), or subscription rights or warrants, the Warrant Price to be in effect after such payment date shall be determined by multiplying the Warrant Price in effect immediately prior to such payment date by a fraction, the numerator of which shall be the total number of shares of Common Stock outstanding multiplied by the Fair Market Value per share of Common Stock immediately prior to such payment date, less the fair market value (as determined by the Board in good faith) of said assets or evidences of indebtedness so distributed, or of such subscription rights or warrants, and the denominator of which shall be the total number of shares of Common Stock outstanding multiplied by such Fair Market Value per share of Common Stock immediately prior to such payment date. Such adjustment shall be made successively whenever such a payment date is fixed.</w:t>
      </w:r>
    </w:p>
    <w:p>
      <w:pPr>
        <w:spacing w:after="0" w:line="178" w:lineRule="exact"/>
        <w:rPr>
          <w:rFonts w:ascii="Arial" w:cs="Arial" w:eastAsia="Arial" w:hAnsi="Arial"/>
          <w:sz w:val="17"/>
          <w:szCs w:val="17"/>
          <w:color w:val="auto"/>
        </w:rPr>
      </w:pPr>
    </w:p>
    <w:p>
      <w:pPr>
        <w:ind w:left="-320" w:right="20" w:firstLine="806"/>
        <w:spacing w:after="0" w:line="342" w:lineRule="auto"/>
        <w:tabs>
          <w:tab w:leader="none" w:pos="868"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that any dividend or distribution for which this Section 3(d) would require an adjustment is not so paid or made, the Warrant Price shall be adjusted to be the Warrant Price which would then be in effect if such dividend or distribution had not been declared.</w:t>
      </w:r>
    </w:p>
    <w:p>
      <w:pPr>
        <w:spacing w:after="0" w:line="123" w:lineRule="exact"/>
        <w:rPr>
          <w:rFonts w:ascii="Arial" w:cs="Arial" w:eastAsia="Arial" w:hAnsi="Arial"/>
          <w:sz w:val="16"/>
          <w:szCs w:val="16"/>
          <w:color w:val="auto"/>
        </w:rPr>
      </w:pPr>
    </w:p>
    <w:p>
      <w:pPr>
        <w:jc w:val="both"/>
        <w:ind w:left="-320" w:firstLine="806"/>
        <w:spacing w:after="0" w:line="255" w:lineRule="auto"/>
        <w:tabs>
          <w:tab w:leader="none" w:pos="903"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that the Company implements a new shareholder rights plan, such rights plan shall provide that upon exercise of this Warrant the Holder will receive, in addition to the Common Stock issuable upon such exercise, the rights issued under such rights plan (as if the Holder had exercised this Warrant prior to implementing the rights plan and notwithstanding the occurrence of an event causing such rights to separate from the Common Stock at or prior to the time of exercise). Any distribution of rights or warrants pursuant to a shareholder rights plan complying with the requirements set forth in the immediately preceding sentence of this paragraph shall not constitute a distribution of rights or warrants for the purposes of this Section 3(d).</w:t>
      </w:r>
    </w:p>
    <w:p>
      <w:pPr>
        <w:spacing w:after="0" w:line="192" w:lineRule="exact"/>
        <w:rPr>
          <w:rFonts w:ascii="Arial" w:cs="Arial" w:eastAsia="Arial" w:hAnsi="Arial"/>
          <w:sz w:val="18"/>
          <w:szCs w:val="18"/>
          <w:color w:val="auto"/>
        </w:rPr>
      </w:pPr>
    </w:p>
    <w:p>
      <w:pPr>
        <w:ind w:left="-980" w:firstLine="980"/>
        <w:spacing w:after="0" w:line="277" w:lineRule="auto"/>
        <w:tabs>
          <w:tab w:leader="none" w:pos="39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An adjustment pursuant to this Section 3 shall become effective immediately after the payment date in the case of each dividend or distribution and immediately after the effective date of each other event which requires an adjustment.</w:t>
      </w:r>
    </w:p>
    <w:p>
      <w:pPr>
        <w:spacing w:after="0" w:line="170" w:lineRule="exact"/>
        <w:rPr>
          <w:rFonts w:ascii="Arial" w:cs="Arial" w:eastAsia="Arial" w:hAnsi="Arial"/>
          <w:sz w:val="18"/>
          <w:szCs w:val="18"/>
          <w:color w:val="auto"/>
        </w:rPr>
      </w:pPr>
    </w:p>
    <w:p>
      <w:pPr>
        <w:jc w:val="both"/>
        <w:ind w:left="-980" w:firstLine="980"/>
        <w:spacing w:after="0" w:line="259" w:lineRule="auto"/>
        <w:tabs>
          <w:tab w:leader="none" w:pos="3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Other Shares</w:t>
      </w:r>
      <w:r>
        <w:rPr>
          <w:rFonts w:ascii="Arial" w:cs="Arial" w:eastAsia="Arial" w:hAnsi="Arial"/>
          <w:sz w:val="18"/>
          <w:szCs w:val="18"/>
          <w:color w:val="auto"/>
        </w:rPr>
        <w:t>. In the event that, as a result of an adjustment made pursuant to this Section 3, the Holder shall become entitled to receive any shares of capital stock of the Company other than shares of Common Stock, the number of such other shares so receivable upon exercise of this Warrant shall be subject thereafter to adjustment from time to time in a manner and on terms as nearly equivalent as practicable to the provisions with respect to the Warrant Shares contained in this Warrant.</w:t>
      </w:r>
    </w:p>
    <w:p>
      <w:pPr>
        <w:spacing w:after="0" w:line="186" w:lineRule="exact"/>
        <w:rPr>
          <w:rFonts w:ascii="Arial" w:cs="Arial" w:eastAsia="Arial" w:hAnsi="Arial"/>
          <w:sz w:val="18"/>
          <w:szCs w:val="18"/>
          <w:color w:val="auto"/>
        </w:rPr>
      </w:pPr>
    </w:p>
    <w:p>
      <w:pPr>
        <w:jc w:val="both"/>
        <w:ind w:left="-980" w:firstLine="980"/>
        <w:spacing w:after="0" w:line="259" w:lineRule="auto"/>
        <w:tabs>
          <w:tab w:leader="none" w:pos="44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With each adjustment pursuant to this Section 3, the Company shall deliver a certificate signed by its chief financial or executive officer setting forth, in reasonable detail, the event requiring the adjustment, the amount of the adjustment, the method by which such adjustment was calculated, and the Warrant Price and the number of Warrant Shares purchasable hereunder after giving effect to such adjustment, which shall be mailed by first class mail, postage prepaid to the Holder.</w:t>
      </w:r>
    </w:p>
    <w:p>
      <w:pPr>
        <w:spacing w:after="0" w:line="186" w:lineRule="exact"/>
        <w:rPr>
          <w:rFonts w:ascii="Arial" w:cs="Arial" w:eastAsia="Arial" w:hAnsi="Arial"/>
          <w:sz w:val="18"/>
          <w:szCs w:val="18"/>
          <w:color w:val="auto"/>
        </w:rPr>
      </w:pPr>
    </w:p>
    <w:p>
      <w:pPr>
        <w:ind w:left="4600" w:hanging="106"/>
        <w:spacing w:after="0"/>
        <w:tabs>
          <w:tab w:leader="none" w:pos="46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62" w:name="page63"/>
    <w:bookmarkEnd w:id="62"/>
    <w:p>
      <w:pPr>
        <w:jc w:val="both"/>
        <w:ind w:firstLine="656"/>
        <w:spacing w:after="0" w:line="255" w:lineRule="auto"/>
        <w:tabs>
          <w:tab w:leader="none" w:pos="99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will pay any documentary stamp taxes attributable to the initial issuance of Warrant Shares issuable upon the exercise of the Warrant; provided, however, that the Company shall not be required to pay any tax or taxes which may be payable in respect of any transfer involved in the issuance or delivery of any certificates for Warrant Shares in a name other than that of the registered holder of this Warrant in respect of which such shares are issued, and in such case, the Company shall not be required to issue or deliver any certificate for Warrant Shares or any Warrant until the person requesting the same has paid to the Company the amount of such tax or has established to the Company’s reasonable satisfaction that such tax has been paid.</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0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Mutilated or Missing Warrants</w:t>
      </w:r>
      <w:r>
        <w:rPr>
          <w:rFonts w:ascii="Arial" w:cs="Arial" w:eastAsia="Arial" w:hAnsi="Arial"/>
          <w:sz w:val="18"/>
          <w:szCs w:val="18"/>
          <w:color w:val="auto"/>
        </w:rPr>
        <w:t>. In case this Warrant shall be mutilated, lost, stolen, or destroyed, the Company shall issue in exchange and substitution of and upon cancellation of the mutilated Warrant, or in lieu of and substitution for the Warrant lost, stolen or destroyed, a new Warrant of like tenor and for the purchase of a like number of Warrant Shares, but only upon receipt of evidence reasonably satisfactory to the Company of such loss, theft or destruction of the Warrant, and with respect to a lost, stolen or destroyed Warrant, reasonable indemnity or bond with respect thereto, if requested by the Company.</w:t>
      </w:r>
    </w:p>
    <w:p>
      <w:pPr>
        <w:spacing w:after="0" w:line="187" w:lineRule="exact"/>
        <w:rPr>
          <w:rFonts w:ascii="Arial" w:cs="Arial" w:eastAsia="Arial" w:hAnsi="Arial"/>
          <w:sz w:val="18"/>
          <w:szCs w:val="18"/>
          <w:color w:val="auto"/>
        </w:rPr>
      </w:pPr>
    </w:p>
    <w:p>
      <w:pPr>
        <w:jc w:val="both"/>
        <w:ind w:firstLine="656"/>
        <w:spacing w:after="0" w:line="286" w:lineRule="auto"/>
        <w:tabs>
          <w:tab w:leader="none" w:pos="97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in connection with any exercise or cashless exercise hereunder, and in lieu of any such fractional shares the Company shall make a cash payment therefor to the Holder (or such other person or persons as directed by the Holder) based on the Fair Market Value of a share of Common Stock on the date of exercise or cashless exercise of this Warrant.</w:t>
      </w:r>
    </w:p>
    <w:p>
      <w:pPr>
        <w:spacing w:after="0" w:line="165" w:lineRule="exact"/>
        <w:rPr>
          <w:rFonts w:ascii="Arial" w:cs="Arial" w:eastAsia="Arial" w:hAnsi="Arial"/>
          <w:sz w:val="17"/>
          <w:szCs w:val="17"/>
          <w:color w:val="auto"/>
        </w:rPr>
      </w:pPr>
    </w:p>
    <w:p>
      <w:pPr>
        <w:jc w:val="both"/>
        <w:ind w:firstLine="656"/>
        <w:spacing w:after="0" w:line="272" w:lineRule="auto"/>
        <w:tabs>
          <w:tab w:leader="none" w:pos="97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Act and Legends</w:t>
      </w:r>
      <w:r>
        <w:rPr>
          <w:rFonts w:ascii="Arial" w:cs="Arial" w:eastAsia="Arial" w:hAnsi="Arial"/>
          <w:sz w:val="17"/>
          <w:szCs w:val="17"/>
          <w:color w:val="auto"/>
        </w:rPr>
        <w:t>. The Holder, by acceptance hereof, agrees that this Warrant and the shares of Common Stock to be issued upon exercise hereof, are being acquired for investment and that such Holder will not offer, sell or otherwise dispose of this Warrant, or any shares of Common Stock to be issued upon exercise hereof except under circumstances which will not result in a violation of the Securities Act of 1933, as amended, or the rules and regulations promulgated thereunder,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xml:space="preserve">”), or any state’s securities laws. Upon exercise of this Warrant, the Holder shall confirm in writing, by executing the form attached as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to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hereto, that the shares of Common Stock so purchased are being acquired for investment and not with a view toward distribution or resale. All shares of Common Stock issued upon exercise of this Warrant (unless registered under the Act) shall be stamped or imprinted with a legend as follows:</w:t>
      </w:r>
    </w:p>
    <w:p>
      <w:pPr>
        <w:spacing w:after="0" w:line="177"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THIS SECURITIES REPRESENTED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ANY OTHER SECURITIES LAWS AND MAY NOT BE OFFERED FOR SALE, SOLD, DELIVERED AFTER SALE, TRANSFERRED, PLEDGED OR HYPOTHECATED IN THE ABSENCE OF (1) AN EFFECTIVE REGISTRATION STATEMENT COVERING THESE SECURITIES UNDER THE ACT AND ANY OTHER APPLICABLE SECURITIES LAWS, OR (2) AN OPINION OF COUNSEL REASONABLY SATISFACTORY TO THE COMPANY THAT SUCH REGISTRATION IS NOT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firstLine="656"/>
        <w:spacing w:after="0" w:line="255" w:lineRule="auto"/>
        <w:tabs>
          <w:tab w:leader="none" w:pos="99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r>
        <w:rPr>
          <w:rFonts w:ascii="Arial" w:cs="Arial" w:eastAsia="Arial" w:hAnsi="Arial"/>
          <w:sz w:val="18"/>
          <w:szCs w:val="18"/>
          <w:color w:val="auto"/>
        </w:rPr>
        <w:t>. Except as expressly provided in this Warrant, no Holder, as such, shall be entitled to vote or receive dividends or be deemed the holder of Common Stock or any other securities of the Company which may at any time be issuable on the exercise hereof for any purpose, nor shall anything contained herein be construed to confer upon the Holder, as such, any of the rights of a stockholder of the Company or any right to vote for the election of the directors or upon any matter submitted to stockholders at any meeting thereof, or to receive notice of meetings, or to receive dividends or subscription rights or otherwise, until this Warrant shall have been exercised and the Warrant Shares purchasable upon the exercise hereof shall have become deliverable, as provided herein.</w:t>
      </w:r>
    </w:p>
    <w:p>
      <w:pPr>
        <w:spacing w:after="0" w:line="192" w:lineRule="exact"/>
        <w:rPr>
          <w:rFonts w:ascii="Arial" w:cs="Arial" w:eastAsia="Arial" w:hAnsi="Arial"/>
          <w:sz w:val="18"/>
          <w:szCs w:val="18"/>
          <w:color w:val="auto"/>
        </w:rPr>
      </w:pPr>
    </w:p>
    <w:p>
      <w:pPr>
        <w:ind w:right="20" w:firstLine="656"/>
        <w:spacing w:after="0" w:line="342" w:lineRule="auto"/>
        <w:tabs>
          <w:tab w:leader="none" w:pos="97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This Warrant and any provision hereof may be changed, waived, discharged or terminated only by an instrument in writing signed by the Company and the then current Holder, and such change, waiver, discharge or termination shall be binding on all future Holders.</w:t>
      </w:r>
    </w:p>
    <w:p>
      <w:pPr>
        <w:spacing w:after="0" w:line="123" w:lineRule="exact"/>
        <w:rPr>
          <w:rFonts w:ascii="Arial" w:cs="Arial" w:eastAsia="Arial" w:hAnsi="Arial"/>
          <w:sz w:val="16"/>
          <w:szCs w:val="16"/>
          <w:color w:val="auto"/>
        </w:rPr>
      </w:pPr>
    </w:p>
    <w:p>
      <w:pPr>
        <w:jc w:val="both"/>
        <w:ind w:firstLine="656"/>
        <w:spacing w:after="0" w:line="271" w:lineRule="auto"/>
        <w:tabs>
          <w:tab w:leader="none" w:pos="1107"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specifically provided herein, all communications under this Warrant shall be in writing and shall be deemed to have been duly given (a) on the date personally delivered to the party to whom notice is to be given, (b) on the day of transmission if sent by facsimile transmission to a number provided to a party specifically for such purposes and the sending party receives confirmation of the completion of such transmission, (c) on the Business Day after delivery to Federal Express or similar overnight courier which utilizes a written form of receipt, or (d) on the fifth day after mailing, if mailed to the party to whom notice is to be given, by first class mail, registered or certified, postage prepaid, and properly addressed, return receipt requested, to each such Holder at its address as shown on the books of the Company or to the Company at the address indicated therefor on the signature page of this Warrant. Any party hereto may change its address for purposes of this Section 9 by giving the other party written notice of the new address in the manner set forth herein.</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contained in this Warrant are inserted for convenience only and do not constitute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Warrant.</w:t>
      </w:r>
    </w:p>
    <w:p>
      <w:pPr>
        <w:spacing w:after="0" w:line="210" w:lineRule="exact"/>
        <w:rPr>
          <w:rFonts w:ascii="Arial" w:cs="Arial" w:eastAsia="Arial" w:hAnsi="Arial"/>
          <w:sz w:val="16"/>
          <w:szCs w:val="16"/>
          <w:color w:val="auto"/>
        </w:rPr>
      </w:pPr>
    </w:p>
    <w:p>
      <w:pPr>
        <w:jc w:val="both"/>
        <w:ind w:firstLine="656"/>
        <w:spacing w:after="0" w:line="269" w:lineRule="auto"/>
        <w:tabs>
          <w:tab w:leader="none" w:pos="1107"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and performance of this Warrant shall be governed by, and construed in accordance with, the laws of the State of Delaware applicable to contracts made and to be performed entirely within such State, regardless of the law that might be applied under principles of conflicts of law. The Company and, by accepting this Warrant, the Holder, each irrevocably submits to the exclusive jurisdiction of the courts of the State of Delaware and the United States District Court for the District of Delaware for the purpose of any suit, action, proceeding or judgment relating to or arising out of this Warrant and the transactions contemplated hereby. Service of process in connection with any such suit, action or proceeding may be served on each party hereto anywhere in the world by the same methods as are specified for the giving of notices under this Warrant. The Company and, by accepting this Warrant, the Holder, each irrevocably consents to the jurisdiction of any such court in any such suit, action or proceeding and to the laying of venue in such court. The Company and, by accepting this Warrant,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5" w:lineRule="exact"/>
        <w:rPr>
          <w:rFonts w:ascii="Arial" w:cs="Arial" w:eastAsia="Arial" w:hAnsi="Arial"/>
          <w:sz w:val="17"/>
          <w:szCs w:val="17"/>
          <w:color w:val="auto"/>
        </w:rPr>
      </w:pPr>
    </w:p>
    <w:p>
      <w:pPr>
        <w:ind w:left="5580" w:hanging="106"/>
        <w:spacing w:after="0"/>
        <w:tabs>
          <w:tab w:leader="none" w:pos="5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404" w:hanging="404"/>
        <w:spacing w:after="0"/>
        <w:tabs>
          <w:tab w:leader="none" w:pos="40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hereof shall constitute acceptance of and agreement to the foregoing terms and conditions.</w:t>
      </w:r>
    </w:p>
    <w:p>
      <w:pPr>
        <w:spacing w:after="0" w:line="248" w:lineRule="exact"/>
        <w:rPr>
          <w:rFonts w:ascii="Arial" w:cs="Arial" w:eastAsia="Arial" w:hAnsi="Arial"/>
          <w:sz w:val="16"/>
          <w:szCs w:val="16"/>
          <w:color w:val="auto"/>
        </w:rPr>
      </w:pPr>
    </w:p>
    <w:p>
      <w:pPr>
        <w:jc w:val="both"/>
        <w:ind w:left="-656" w:firstLine="656"/>
        <w:spacing w:after="0" w:line="259" w:lineRule="auto"/>
        <w:tabs>
          <w:tab w:leader="none" w:pos="45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Impairment of Rights</w:t>
      </w:r>
      <w:r>
        <w:rPr>
          <w:rFonts w:ascii="Arial" w:cs="Arial" w:eastAsia="Arial" w:hAnsi="Arial"/>
          <w:sz w:val="18"/>
          <w:szCs w:val="18"/>
          <w:color w:val="auto"/>
        </w:rPr>
        <w:t>. The Company will not, by amendment of its Certificate of Incorporation or through any other means,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of this Warrant against material impairment.</w:t>
      </w:r>
    </w:p>
    <w:p>
      <w:pPr>
        <w:spacing w:after="0" w:line="186" w:lineRule="exact"/>
        <w:rPr>
          <w:rFonts w:ascii="Arial" w:cs="Arial" w:eastAsia="Arial" w:hAnsi="Arial"/>
          <w:sz w:val="18"/>
          <w:szCs w:val="18"/>
          <w:color w:val="auto"/>
        </w:rPr>
      </w:pPr>
    </w:p>
    <w:p>
      <w:pPr>
        <w:jc w:val="both"/>
        <w:ind w:left="-656" w:firstLine="656"/>
        <w:spacing w:after="0" w:line="293" w:lineRule="auto"/>
        <w:tabs>
          <w:tab w:leader="none" w:pos="39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A Holder may transfer its rights hereunder, in whole or in part, to any other person (other than a competitor of the Company, as determined by the Board in good faith; </w:t>
      </w:r>
      <w:r>
        <w:rPr>
          <w:rFonts w:ascii="Arial" w:cs="Arial" w:eastAsia="Arial" w:hAnsi="Arial"/>
          <w:sz w:val="16"/>
          <w:szCs w:val="16"/>
          <w:i w:val="1"/>
          <w:iCs w:val="1"/>
          <w:color w:val="auto"/>
        </w:rPr>
        <w:t>provided, however</w:t>
      </w:r>
      <w:r>
        <w:rPr>
          <w:rFonts w:ascii="Arial" w:cs="Arial" w:eastAsia="Arial" w:hAnsi="Arial"/>
          <w:sz w:val="16"/>
          <w:szCs w:val="16"/>
          <w:color w:val="auto"/>
        </w:rPr>
        <w:t>, ________________ shall be deemed not to be a competitor), provided that written notice is given to the Company of any such transfer and such transfer is in accordance with applicable law. Upon receipt by the Company of notice by a Holder of a transfer of any portion of this Warrant, the Company shall promptly deliver to a transferee a Warrant in the form hereof exercisable for the number of Warrant Shares the right of which to purchase has been transferred. In addition to, and not in limitation of, the foregoing, a Holder that is a corporation, a partnership or a limited liability company, may distribute any portion of a warrant to its respective shareholders, partners or members.</w:t>
      </w:r>
    </w:p>
    <w:p>
      <w:pPr>
        <w:spacing w:after="0" w:line="164" w:lineRule="exact"/>
        <w:rPr>
          <w:rFonts w:ascii="Arial" w:cs="Arial" w:eastAsia="Arial" w:hAnsi="Arial"/>
          <w:sz w:val="16"/>
          <w:szCs w:val="16"/>
          <w:color w:val="auto"/>
        </w:rPr>
      </w:pPr>
    </w:p>
    <w:p>
      <w:pPr>
        <w:ind w:left="4784"/>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25" w:lineRule="exact"/>
        <w:rPr>
          <w:rFonts w:ascii="Arial" w:cs="Arial" w:eastAsia="Arial" w:hAnsi="Arial"/>
          <w:sz w:val="16"/>
          <w:szCs w:val="16"/>
          <w:color w:val="auto"/>
        </w:rPr>
      </w:pPr>
    </w:p>
    <w:p>
      <w:pPr>
        <w:ind w:left="4884" w:hanging="111"/>
        <w:spacing w:after="0"/>
        <w:tabs>
          <w:tab w:leader="none" w:pos="48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Warrant to be executed on its behalf by one of its officers thereunto duly authorized on the date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A</w:t>
      </w:r>
      <w:r>
        <w:rPr>
          <w:rFonts w:ascii="Arial" w:cs="Arial" w:eastAsia="Arial" w:hAnsi="Arial"/>
          <w:sz w:val="12"/>
          <w:szCs w:val="12"/>
          <w:color w:val="auto"/>
        </w:rPr>
        <w:t>lam</w:t>
      </w:r>
      <w:r>
        <w:rPr>
          <w:rFonts w:ascii="Arial" w:cs="Arial" w:eastAsia="Arial" w:hAnsi="Arial"/>
          <w:sz w:val="18"/>
          <w:szCs w:val="18"/>
          <w:color w:val="auto"/>
        </w:rPr>
        <w:t>, P</w:t>
      </w:r>
      <w:r>
        <w:rPr>
          <w:rFonts w:ascii="Arial" w:cs="Arial" w:eastAsia="Arial" w:hAnsi="Arial"/>
          <w:sz w:val="12"/>
          <w:szCs w:val="12"/>
          <w:color w:val="auto"/>
        </w:rPr>
        <w:t>resident</w:t>
      </w:r>
      <w:r>
        <w:rPr>
          <w:rFonts w:ascii="Arial" w:cs="Arial" w:eastAsia="Arial" w:hAnsi="Arial"/>
          <w:sz w:val="18"/>
          <w:szCs w:val="18"/>
          <w:color w:val="auto"/>
        </w:rPr>
        <w:t xml:space="preserve"> &amp; CEO</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Access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Notice of Exercise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CervoMed Inc.</w:t>
      </w:r>
    </w:p>
    <w:p>
      <w:pPr>
        <w:spacing w:after="0" w:line="225" w:lineRule="exact"/>
        <w:rPr>
          <w:sz w:val="20"/>
          <w:szCs w:val="20"/>
          <w:color w:val="auto"/>
        </w:rPr>
      </w:pPr>
    </w:p>
    <w:p>
      <w:pPr>
        <w:jc w:val="both"/>
        <w:ind w:firstLine="656"/>
        <w:spacing w:after="0" w:line="263" w:lineRule="auto"/>
        <w:tabs>
          <w:tab w:leader="none" w:pos="12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undersigned hereby irrevocably elects to purchase [_____] shares of Common Stock of CervoMed Inc. pursuant to the terms of the attached Warrant, and tenders herewith payment of the purchase price of such shares in full, by cash, certified check/wire transfer/surrender of the originally executed Warrant.</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said shares in the name of the undersigned or in such other name or names as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143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18" w:lineRule="exact"/>
        <w:rPr>
          <w:sz w:val="20"/>
          <w:szCs w:val="20"/>
          <w:color w:val="auto"/>
        </w:rPr>
      </w:pPr>
    </w:p>
    <w:p>
      <w:pPr>
        <w:ind w:firstLine="656"/>
        <w:spacing w:after="0" w:line="277" w:lineRule="auto"/>
        <w:tabs>
          <w:tab w:leader="none" w:pos="11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Please issue a new Warrant of equivalent form and tenor for the unexercised portion of the attached Warrant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4598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459867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42843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42843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-10160</wp:posOffset>
            </wp:positionV>
            <wp:extent cx="37992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-10160</wp:posOffset>
            </wp:positionV>
            <wp:extent cx="39135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9135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-10160</wp:posOffset>
            </wp:positionV>
            <wp:extent cx="43700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437007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REPRESENTATION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143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6"/>
          <w:szCs w:val="16"/>
          <w:color w:val="auto"/>
        </w:rPr>
        <w:t>CervoMed Inc.</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Security:</w:t>
        <w:tab/>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2143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143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purchase of the above-listed securities (the “Securities”), the undersigned (the “Purchaser”) represents to the Company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56"/>
        <w:spacing w:after="0" w:line="259" w:lineRule="auto"/>
        <w:tabs>
          <w:tab w:leader="none" w:pos="14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is aware of the Company’s business affairs and financial condition, and has acquired sufficient information about the Company to reach an informed and knowledgeable decision to acquire the Securities. The Purchaser is purchasing the Securities for its own account for investment purposes only and not with a view to, or for the resale in connection with, any “distribution” thereof for purposes of the Securities Act of 1933, as amended (the “Act”).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3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understands that the Securities have not been registered under the Act in reliance upon a specific exemption therefrom, which exemption depends upon, among other things, the bona fide nature of the Purchaser’s investment intent as expressed herein. In this connection, the Purchaser understands that, in the view of the Securities and Exchange Commission (“SEC”), the statutory basis for such exemption may be unavailable if the Purchaser’s representation was predicated solely upon a present intention to hold these Securities for the minimum capital gains period specified under applicable tax laws, for a deferred sale, for or until an increase or decrease in the market price of the Securities, or for a period of one year or any other fixed period in the future.</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3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further understands that the Securities must be held indefinitely unless subsequently registered under the Act or unless an exemption from registration is otherwise available. In addition, the Purchaser understands that the certificate evidencing the Securities will be imprinted with the legend referred to in the Warrant under which the Securities are being purchased.</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Purchaser is aware of the provisions of Rule 144 and 144A, promulgated under the Act, which, in substance, permit limited public resale of “restricted securities” acquired, directly or indirectly, from the issuer thereof (or from an affiliate of such issuer), in a non-public offering subject to the satisfaction of certain conditions, if applicable, including, among other things: The availability of certain public information about the Company, the resale occurring not less than one (1) year after the party has purchased and paid for the securities to be sold; the sale being made through a broker in an unsolicited “broker’s transaction” or in transactions directly with a market maker (as said term is defined under the Securities Exchange Act of 1934, as amended) and the amount of securities being sold during any three-month period not exceeding the specified limitations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both"/>
        <w:ind w:left="-656" w:firstLine="656"/>
        <w:spacing w:after="0" w:line="259" w:lineRule="auto"/>
        <w:tabs>
          <w:tab w:leader="none" w:pos="6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Purchaser further understands that at the time it wishes to sell the Securities there may be no public market upon which to make such a sale, and that, even if such a public market then exists, the Company may not be satisfying the current public information requirements of Rule 144 and 144A, and that, in such event, the Purchaser may be precluded from selling the Securities under Rule 144 and 144A even if the one-year minimum holding period had been satisfied.</w:t>
      </w:r>
    </w:p>
    <w:p>
      <w:pPr>
        <w:spacing w:after="0" w:line="186" w:lineRule="exact"/>
        <w:rPr>
          <w:rFonts w:ascii="Arial" w:cs="Arial" w:eastAsia="Arial" w:hAnsi="Arial"/>
          <w:sz w:val="18"/>
          <w:szCs w:val="18"/>
          <w:color w:val="auto"/>
        </w:rPr>
      </w:pPr>
    </w:p>
    <w:p>
      <w:pPr>
        <w:jc w:val="both"/>
        <w:ind w:left="-656" w:firstLine="656"/>
        <w:spacing w:after="0" w:line="275" w:lineRule="auto"/>
        <w:tabs>
          <w:tab w:leader="none" w:pos="6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Purchaser further understands that in the event all of the requirements of Rule 144 and 144A are not satisfied, registration under the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or proof in establishing that an exemption from registration is available for such offers or sales, and that such persons and their respective brokers who participate in such transactions do so at their own risk.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374650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-10160</wp:posOffset>
            </wp:positionV>
            <wp:extent cx="2313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40" w:type="dxa"/>
            <w:vAlign w:val="bottom"/>
            <w:gridSpan w:val="2"/>
          </w:tcPr>
          <w:p>
            <w:pPr>
              <w:ind w:left="1340"/>
              <w:spacing w:after="0"/>
              <w:rPr>
                <w:sz w:val="20"/>
                <w:szCs w:val="20"/>
                <w:color w:val="auto"/>
              </w:rPr>
            </w:pPr>
            <w:r>
              <w:rPr>
                <w:rFonts w:ascii="Arial" w:cs="Arial" w:eastAsia="Arial" w:hAnsi="Arial"/>
                <w:sz w:val="18"/>
                <w:szCs w:val="18"/>
                <w:b w:val="1"/>
                <w:bCs w:val="1"/>
                <w:color w:val="auto"/>
                <w:w w:val="98"/>
              </w:rPr>
              <w:t>APPENDIX B</w:t>
            </w:r>
          </w:p>
        </w:tc>
      </w:tr>
      <w:tr>
        <w:trPr>
          <w:trHeight w:val="453"/>
        </w:trPr>
        <w:tc>
          <w:tcPr>
            <w:tcW w:w="3740" w:type="dxa"/>
            <w:vAlign w:val="bottom"/>
            <w:gridSpan w:val="3"/>
          </w:tcPr>
          <w:p>
            <w:pPr>
              <w:spacing w:after="0"/>
              <w:rPr>
                <w:sz w:val="20"/>
                <w:szCs w:val="20"/>
                <w:color w:val="auto"/>
              </w:rPr>
            </w:pPr>
            <w:r>
              <w:rPr>
                <w:rFonts w:ascii="Arial" w:cs="Arial" w:eastAsia="Arial" w:hAnsi="Arial"/>
                <w:sz w:val="18"/>
                <w:szCs w:val="18"/>
                <w:color w:val="auto"/>
              </w:rPr>
              <w:t>Net Issue Election Notice</w:t>
            </w:r>
          </w:p>
        </w:tc>
        <w:tc>
          <w:tcPr>
            <w:tcW w:w="13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To:</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tcPr>
          <w:p>
            <w:pPr>
              <w:spacing w:after="0"/>
              <w:rPr>
                <w:sz w:val="24"/>
                <w:szCs w:val="24"/>
                <w:color w:val="auto"/>
              </w:rPr>
            </w:pPr>
          </w:p>
        </w:tc>
        <w:tc>
          <w:tcPr>
            <w:tcW w:w="1340" w:type="dxa"/>
            <w:vAlign w:val="bottom"/>
          </w:tcPr>
          <w:p>
            <w:pPr>
              <w:jc w:val="right"/>
              <w:ind w:right="1190"/>
              <w:spacing w:after="0"/>
              <w:rPr>
                <w:sz w:val="20"/>
                <w:szCs w:val="20"/>
                <w:color w:val="auto"/>
              </w:rPr>
            </w:pPr>
            <w:r>
              <w:rPr>
                <w:rFonts w:ascii="Arial" w:cs="Arial" w:eastAsia="Arial" w:hAnsi="Arial"/>
                <w:sz w:val="18"/>
                <w:szCs w:val="18"/>
                <w:color w:val="auto"/>
                <w:w w:val="78"/>
              </w:rPr>
              <w:t>]</w:t>
            </w:r>
          </w:p>
        </w:tc>
        <w:tc>
          <w:tcPr>
            <w:tcW w:w="1100" w:type="dxa"/>
            <w:vAlign w:val="bottom"/>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tcPr>
          <w:p>
            <w:pPr>
              <w:spacing w:after="0"/>
              <w:rPr>
                <w:sz w:val="24"/>
                <w:szCs w:val="24"/>
                <w:color w:val="auto"/>
              </w:rPr>
            </w:pPr>
          </w:p>
        </w:tc>
        <w:tc>
          <w:tcPr>
            <w:tcW w:w="1340" w:type="dxa"/>
            <w:vAlign w:val="bottom"/>
          </w:tcPr>
          <w:p>
            <w:pPr>
              <w:jc w:val="right"/>
              <w:ind w:right="1190"/>
              <w:spacing w:after="0"/>
              <w:rPr>
                <w:sz w:val="20"/>
                <w:szCs w:val="20"/>
                <w:color w:val="auto"/>
              </w:rPr>
            </w:pPr>
            <w:r>
              <w:rPr>
                <w:rFonts w:ascii="Arial" w:cs="Arial" w:eastAsia="Arial" w:hAnsi="Arial"/>
                <w:sz w:val="18"/>
                <w:szCs w:val="18"/>
                <w:color w:val="auto"/>
                <w:w w:val="78"/>
              </w:rPr>
              <w:t>]</w:t>
            </w:r>
          </w:p>
        </w:tc>
        <w:tc>
          <w:tcPr>
            <w:tcW w:w="1100" w:type="dxa"/>
            <w:vAlign w:val="bottom"/>
          </w:tcPr>
          <w:p>
            <w:pPr>
              <w:spacing w:after="0"/>
              <w:rPr>
                <w:sz w:val="24"/>
                <w:szCs w:val="24"/>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elects under Section [__] of this Warrant to surrender the right to purchase [______________]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Warrant and hereby requests the issuance of [______________] shares of Common Stock. The certificate(s) for the shares issuable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net issue election shall be issued in the name of the undersigned or as otherwise indicated below.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0" w:name="page71"/>
    <w:bookmarkEnd w:id="70"/>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OR BLUE SKY LAWS AS EVIDENCED BY A LEGAL OPINION OF COUNSEL REASONABLY SATISFACTORY TO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CERVOMED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 2023 (such date, the “</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 No.: PF-[•]</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THIS PRE-FUNDED COMMON STOCK PURCHASE WARRANT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certifies that, for value received, the registered holder 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its permitted assigns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is entitled, upon the terms and subject to the limitations on exercise and the conditions set forth herein, at any time on or after the Issue Date, to subscribe for and purchase from CervoMed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up to [•] shares (as subject to adjustment hereunder,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of the Company’s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The purchase price of one share of Common Stock under this Warrant shall be equal $0.001 (as adjusted from time to time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herein,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This Warrant is one of the Pre-Funded Common Stock Purchase Warrants issued in connection with the transactions contemplated by (i) that certain Agreement and Plan of Merger, dated as of March 30, 2023, by and between Diffusion Pharmaceuticals Inc., Dawn Merger Sub Inc. and EIP Pharma, Inc. (“</w:t>
      </w:r>
      <w:r>
        <w:rPr>
          <w:rFonts w:ascii="Arial" w:cs="Arial" w:eastAsia="Arial" w:hAnsi="Arial"/>
          <w:sz w:val="18"/>
          <w:szCs w:val="18"/>
          <w:b w:val="1"/>
          <w:bCs w:val="1"/>
          <w:i w:val="1"/>
          <w:iCs w:val="1"/>
          <w:color w:val="auto"/>
        </w:rPr>
        <w:t>EIP</w:t>
      </w:r>
      <w:r>
        <w:rPr>
          <w:rFonts w:ascii="Arial" w:cs="Arial" w:eastAsia="Arial" w:hAnsi="Arial"/>
          <w:sz w:val="18"/>
          <w:szCs w:val="18"/>
          <w:color w:val="auto"/>
        </w:rPr>
        <w:t>”), and (ii) [•].</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Warrant, the following terms shall have the following meanings:</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that, directly or indirectly through one or more intermediaries, controls or is controlled by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a Person, as such terms are used in and construed under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Attribution Parties</w:t>
      </w:r>
      <w:r>
        <w:rPr>
          <w:rFonts w:ascii="Arial" w:cs="Arial" w:eastAsia="Arial" w:hAnsi="Arial"/>
          <w:sz w:val="18"/>
          <w:szCs w:val="18"/>
          <w:color w:val="auto"/>
        </w:rPr>
        <w:t>” means, collectively, the following Persons and entities: (i) any investment vehicle, including, any funds, feeder</w:t>
      </w:r>
      <w:r>
        <w:rPr>
          <w:rFonts w:ascii="Arial" w:cs="Arial" w:eastAsia="Arial" w:hAnsi="Arial"/>
          <w:sz w:val="18"/>
          <w:szCs w:val="18"/>
          <w:i w:val="1"/>
          <w:iCs w:val="1"/>
          <w:color w:val="auto"/>
        </w:rPr>
        <w:t xml:space="preserve"> </w:t>
      </w:r>
      <w:r>
        <w:rPr>
          <w:rFonts w:ascii="Arial" w:cs="Arial" w:eastAsia="Arial" w:hAnsi="Arial"/>
          <w:sz w:val="18"/>
          <w:szCs w:val="18"/>
          <w:color w:val="auto"/>
        </w:rPr>
        <w:t>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xml:space="preserve">”). For clarity, the purpose of the foregoing is to subject collectively the Holder and all other Attribution Parties to the Maximum Percentage (as defined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Bloomberg</w:t>
      </w:r>
      <w:r>
        <w:rPr>
          <w:rFonts w:ascii="Arial" w:cs="Arial" w:eastAsia="Arial" w:hAnsi="Arial"/>
          <w:sz w:val="18"/>
          <w:szCs w:val="18"/>
          <w:color w:val="auto"/>
        </w:rPr>
        <w:t>” means Bloomberg Financial Markets.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except any Saturday, any Sunday, any day that is a federal legal holiday in the United States or any day</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the Trading Market is authorized or required by law or other governmental action to close.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“group” as that term is used in Section 13(d) of the Exchange Act and as defined in Rule 13d-5 thereunder.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limited liability company, a partnership, a joint venture, a corporation, a trust, an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any other entity and a government or any department or agency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Common Stock is traded on the Trading Market.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Trading Market</w:t>
      </w:r>
      <w:r>
        <w:rPr>
          <w:rFonts w:ascii="Arial" w:cs="Arial" w:eastAsia="Arial" w:hAnsi="Arial"/>
          <w:sz w:val="18"/>
          <w:szCs w:val="18"/>
          <w:color w:val="auto"/>
        </w:rPr>
        <w:t>” means the principal securities exchange or securities market, including an over-the-counter market,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is then traded in the United States.</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Weighted Average Price</w:t>
      </w:r>
      <w:r>
        <w:rPr>
          <w:rFonts w:ascii="Arial" w:cs="Arial" w:eastAsia="Arial" w:hAnsi="Arial"/>
          <w:sz w:val="16"/>
          <w:szCs w:val="16"/>
          <w:color w:val="auto"/>
        </w:rPr>
        <w:t>” means, for any security as of any date, the dollar volume-weighted average price for such security 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6"/>
          <w:szCs w:val="16"/>
          <w:b w:val="1"/>
          <w:bCs w:val="1"/>
          <w:u w:val="single" w:color="auto"/>
          <w:color w:val="auto"/>
        </w:rPr>
        <w:t>Error! Reference source not found.</w:t>
      </w:r>
      <w:r>
        <w:rPr>
          <w:rFonts w:ascii="Arial" w:cs="Arial" w:eastAsia="Arial" w:hAnsi="Arial"/>
          <w:sz w:val="16"/>
          <w:szCs w:val="16"/>
          <w:color w:val="auto"/>
        </w:rPr>
        <w:t xml:space="preserve"> with the term “Weighted Average Price” being substituted for the term “Exercise Price.” All such determinations shall be appropriately adjusted for any stock dividend, stock split, stock combination or other similar transaction during such period.</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jc w:val="both"/>
        <w:ind w:left="1300" w:hanging="644"/>
        <w:spacing w:after="0" w:line="267"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Exercise of Warrant</w:t>
      </w:r>
      <w:r>
        <w:rPr>
          <w:rFonts w:ascii="Arial" w:cs="Arial" w:eastAsia="Arial" w:hAnsi="Arial"/>
          <w:sz w:val="17"/>
          <w:szCs w:val="17"/>
          <w:color w:val="auto"/>
        </w:rPr>
        <w:t>. Subject to the terms and conditions hereof, the purchase rights represented by this Warrant may be exercised, in whole or in part, at any time or times on or after the Issue Date by delivery (whether via facsimile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Arial" w:cs="Arial" w:eastAsia="Arial" w:hAnsi="Arial"/>
          <w:sz w:val="17"/>
          <w:szCs w:val="17"/>
          <w:b w:val="1"/>
          <w:bCs w:val="1"/>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Exercise</w:t>
      </w:r>
      <w:r>
        <w:rPr>
          <w:rFonts w:ascii="Arial" w:cs="Arial" w:eastAsia="Arial" w:hAnsi="Arial"/>
          <w:sz w:val="17"/>
          <w:szCs w:val="17"/>
          <w:color w:val="auto"/>
        </w:rPr>
        <w:t>”) and by payment to the Company of an amount equal to the aggregate Exercise Price of the Warrant Shares thereby purchased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by wire transfer (or by notifying the Company that this Warrant is being exercised pursuant to a Cashless Exercise (as defined below)).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7"/>
          <w:szCs w:val="17"/>
          <w:b w:val="1"/>
          <w:bCs w:val="1"/>
          <w:color w:val="auto"/>
        </w:rPr>
        <w:t>The Holder and any assignee, by acceptance of this Warrant, acknowledge and</w:t>
      </w:r>
      <w:r>
        <w:rPr>
          <w:rFonts w:ascii="Arial" w:cs="Arial" w:eastAsia="Arial" w:hAnsi="Arial"/>
          <w:sz w:val="17"/>
          <w:szCs w:val="17"/>
          <w:color w:val="auto"/>
        </w:rPr>
        <w:t xml:space="preserve"> </w:t>
      </w:r>
      <w:r>
        <w:rPr>
          <w:rFonts w:ascii="Arial" w:cs="Arial" w:eastAsia="Arial" w:hAnsi="Arial"/>
          <w:sz w:val="17"/>
          <w:szCs w:val="17"/>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4" w:hanging="656"/>
        <w:spacing w:after="0" w:line="287" w:lineRule="auto"/>
        <w:tabs>
          <w:tab w:leader="none" w:pos="1304"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Certificates for shares purchased hereunder shall be transmitted to the Holder by crediting the account of the Holder’s prime broker with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through its Deposit/Withdrawal at Custodian (“</w:t>
      </w:r>
      <w:r>
        <w:rPr>
          <w:rFonts w:ascii="Arial" w:cs="Arial" w:eastAsia="Arial" w:hAnsi="Arial"/>
          <w:sz w:val="16"/>
          <w:szCs w:val="16"/>
          <w:b w:val="1"/>
          <w:bCs w:val="1"/>
          <w:i w:val="1"/>
          <w:iCs w:val="1"/>
          <w:color w:val="auto"/>
        </w:rPr>
        <w:t>DWAC</w:t>
      </w:r>
      <w:r>
        <w:rPr>
          <w:rFonts w:ascii="Arial" w:cs="Arial" w:eastAsia="Arial" w:hAnsi="Arial"/>
          <w:sz w:val="16"/>
          <w:szCs w:val="16"/>
          <w:color w:val="auto"/>
        </w:rPr>
        <w:t>”) system if the Company is then a participant in such system and otherwise by physical delivery to the address specified by the Holder in the Notice of Exercise by the date that is two Trading Days after the receipt by the Company of the Notice of Exercise (provided that payment of the Exercise Price (or notification of Cashless Exercise, if applicable) has then been received by the Company) (such date, the “</w:t>
      </w:r>
      <w:r>
        <w:rPr>
          <w:rFonts w:ascii="Arial" w:cs="Arial" w:eastAsia="Arial" w:hAnsi="Arial"/>
          <w:sz w:val="16"/>
          <w:szCs w:val="16"/>
          <w:b w:val="1"/>
          <w:bCs w:val="1"/>
          <w:i w:val="1"/>
          <w:iCs w:val="1"/>
          <w:color w:val="auto"/>
        </w:rPr>
        <w:t>Warrant Share Delivery Date</w:t>
      </w:r>
      <w:r>
        <w:rPr>
          <w:rFonts w:ascii="Arial" w:cs="Arial" w:eastAsia="Arial" w:hAnsi="Arial"/>
          <w:sz w:val="16"/>
          <w:szCs w:val="16"/>
          <w:color w:val="auto"/>
        </w:rPr>
        <w:t>”). This Warrant shall be deemed to have been exercised upon proper delivery of the Notice of Exercise and payment of the Exercise Price (or notification of Cashless Exercise). The Warrant Shares shall be deemed to have been issued, and the Holder or any other person so designated to be named therein shall be deemed to have become a holder of record of such shares for all purposes, as of the date the Warrant has been exercised. The Company shall use its reasonable best efforts to maintain a transfer agent that is a participant in the FAST program so long as this Warrant remains outstanding and exercisable.</w:t>
      </w:r>
    </w:p>
    <w:p>
      <w:pPr>
        <w:spacing w:after="0" w:line="171" w:lineRule="exact"/>
        <w:rPr>
          <w:rFonts w:ascii="Arial" w:cs="Arial" w:eastAsia="Arial" w:hAnsi="Arial"/>
          <w:sz w:val="16"/>
          <w:szCs w:val="16"/>
          <w:color w:val="auto"/>
        </w:rPr>
      </w:pPr>
    </w:p>
    <w:p>
      <w:pPr>
        <w:jc w:val="both"/>
        <w:ind w:left="1304" w:hanging="656"/>
        <w:spacing w:after="0" w:line="301" w:lineRule="auto"/>
        <w:tabs>
          <w:tab w:leader="none" w:pos="1304"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Delivery of New Warrant Upon Exercise</w:t>
      </w:r>
      <w:r>
        <w:rPr>
          <w:rFonts w:ascii="Arial" w:cs="Arial" w:eastAsia="Arial" w:hAnsi="Arial"/>
          <w:sz w:val="16"/>
          <w:szCs w:val="16"/>
          <w:color w:val="auto"/>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57" w:lineRule="exact"/>
        <w:rPr>
          <w:rFonts w:ascii="Arial" w:cs="Arial" w:eastAsia="Arial" w:hAnsi="Arial"/>
          <w:sz w:val="16"/>
          <w:szCs w:val="16"/>
          <w:color w:val="auto"/>
        </w:rPr>
      </w:pPr>
    </w:p>
    <w:p>
      <w:pPr>
        <w:jc w:val="both"/>
        <w:ind w:left="1304" w:hanging="656"/>
        <w:spacing w:after="0" w:line="284" w:lineRule="auto"/>
        <w:tabs>
          <w:tab w:leader="none" w:pos="1304"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xml:space="preserve">. In addition to any other rights available to the Holder, if the Company fails to cause the Transfer Agent to transmit to the Holder the Warrant Shares in accordance with the provisions of </w:t>
      </w:r>
      <w:r>
        <w:rPr>
          <w:rFonts w:ascii="Arial" w:cs="Arial" w:eastAsia="Arial" w:hAnsi="Arial"/>
          <w:sz w:val="16"/>
          <w:szCs w:val="16"/>
          <w:u w:val="single" w:color="auto"/>
          <w:color w:val="auto"/>
        </w:rPr>
        <w:t>Section 2(b)(i)</w:t>
      </w:r>
      <w:r>
        <w:rPr>
          <w:rFonts w:ascii="Arial" w:cs="Arial" w:eastAsia="Arial" w:hAnsi="Arial"/>
          <w:sz w:val="16"/>
          <w:szCs w:val="16"/>
          <w:color w:val="auto"/>
        </w:rPr>
        <w:t xml:space="preserve">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i w:val="1"/>
          <w:iCs w:val="1"/>
          <w:color w:val="auto"/>
        </w:rPr>
        <w:t>Buy-In</w:t>
      </w:r>
      <w:r>
        <w:rPr>
          <w:rFonts w:ascii="Arial" w:cs="Arial" w:eastAsia="Arial" w:hAnsi="Arial"/>
          <w:sz w:val="16"/>
          <w:szCs w:val="16"/>
          <w:color w:val="auto"/>
        </w:rPr>
        <w:t>”), then the Company shall either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79" w:lineRule="exact"/>
        <w:rPr>
          <w:rFonts w:ascii="Arial" w:cs="Arial" w:eastAsia="Arial" w:hAnsi="Arial"/>
          <w:sz w:val="16"/>
          <w:szCs w:val="16"/>
          <w:color w:val="auto"/>
        </w:rPr>
      </w:pPr>
    </w:p>
    <w:p>
      <w:pPr>
        <w:jc w:val="both"/>
        <w:ind w:left="1304" w:hanging="656"/>
        <w:spacing w:after="0" w:line="279" w:lineRule="auto"/>
        <w:tabs>
          <w:tab w:leader="none" w:pos="130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17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73" w:name="page74"/>
    <w:bookmarkEnd w:id="73"/>
    <w:p>
      <w:pPr>
        <w:jc w:val="both"/>
        <w:ind w:left="1304" w:hanging="656"/>
        <w:spacing w:after="0" w:line="272" w:lineRule="auto"/>
        <w:tabs>
          <w:tab w:leader="none" w:pos="1304"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77" w:lineRule="exact"/>
        <w:rPr>
          <w:rFonts w:ascii="Arial" w:cs="Arial" w:eastAsia="Arial" w:hAnsi="Arial"/>
          <w:sz w:val="17"/>
          <w:szCs w:val="17"/>
          <w:color w:val="auto"/>
        </w:rPr>
      </w:pPr>
    </w:p>
    <w:p>
      <w:pPr>
        <w:ind w:left="1304" w:hanging="656"/>
        <w:spacing w:after="0" w:line="277" w:lineRule="auto"/>
        <w:tabs>
          <w:tab w:leader="none" w:pos="1304"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w:t>
      </w:r>
    </w:p>
    <w:p>
      <w:pPr>
        <w:spacing w:after="0" w:line="140" w:lineRule="exact"/>
        <w:rPr>
          <w:sz w:val="20"/>
          <w:szCs w:val="20"/>
          <w:color w:val="auto"/>
        </w:rPr>
      </w:pPr>
    </w:p>
    <w:tbl>
      <w:tblPr>
        <w:tblLayout w:type="fixed"/>
        <w:tblInd w:w="1304"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Net Number =</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 x B) - (A x C)</w:t>
            </w:r>
          </w:p>
        </w:tc>
      </w:tr>
      <w:tr>
        <w:trPr>
          <w:trHeight w:val="236"/>
        </w:trPr>
        <w:tc>
          <w:tcPr>
            <w:tcW w:w="14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B</w:t>
            </w:r>
          </w:p>
        </w:tc>
      </w:tr>
    </w:tbl>
    <w:p>
      <w:pPr>
        <w:spacing w:after="0" w:line="202"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4"/>
        <w:spacing w:after="0"/>
        <w:tabs>
          <w:tab w:leader="none" w:pos="1964"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total number of shares of Common Stock with respect to which this Warrant is then being exercised.</w:t>
      </w:r>
    </w:p>
    <w:p>
      <w:pPr>
        <w:spacing w:after="0" w:line="225" w:lineRule="exact"/>
        <w:rPr>
          <w:sz w:val="20"/>
          <w:szCs w:val="20"/>
          <w:color w:val="auto"/>
        </w:rPr>
      </w:pPr>
    </w:p>
    <w:p>
      <w:pPr>
        <w:ind w:left="1944" w:hanging="647"/>
        <w:spacing w:after="0" w:line="277" w:lineRule="auto"/>
        <w:tabs>
          <w:tab w:leader="none" w:pos="1924"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8"/>
          <w:szCs w:val="18"/>
          <w:color w:val="auto"/>
        </w:rPr>
        <w:t>the Weighted Average Price of the shares of Common Stock on the date immediately preceding the date of the Notice of Exercise.</w:t>
      </w:r>
    </w:p>
    <w:p>
      <w:pPr>
        <w:spacing w:after="0" w:line="170"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the Exercise Price then in effect for the applicable Warrant Shares at the time of such exercise.</w:t>
      </w:r>
    </w:p>
    <w:p>
      <w:pPr>
        <w:spacing w:after="0" w:line="225"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 xml:space="preserve">If Warrant Shares are issued in such a Cashless Exercise, the Company acknowledges and agrees that in accordance with Section 3(a)(9) of the Securities Act, the Warrant Shares shall take on the registered characteristics of the Warrant being exercised, and the holding period of the Warrant being exercised may be tacked on to the holding period of the Warrant Shares. The Company agrees not to take any position contrary to this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74" w:name="page75"/>
    <w:bookmarkEnd w:id="74"/>
    <w:p>
      <w:pPr>
        <w:jc w:val="both"/>
        <w:ind w:left="644" w:hanging="644"/>
        <w:spacing w:after="0" w:line="282" w:lineRule="auto"/>
        <w:tabs>
          <w:tab w:leader="none" w:pos="64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(or, at the election of the Holder prior to the issuance of the Warrant, 4.99%)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2(d)</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most recent public filing with the Securities and Exchange Commission, as the case may be, (y) a more recent public announcement by the Company or (z) any other current written notice by the Company setting forth the number of shares of Common Stock outstanding (the “</w:t>
      </w:r>
      <w:r>
        <w:rPr>
          <w:rFonts w:ascii="Arial" w:cs="Arial" w:eastAsia="Arial" w:hAnsi="Arial"/>
          <w:sz w:val="16"/>
          <w:szCs w:val="16"/>
          <w:b w:val="1"/>
          <w:bCs w:val="1"/>
          <w:i w:val="1"/>
          <w:iCs w:val="1"/>
          <w:color w:val="auto"/>
        </w:rPr>
        <w:t>Reported Outstanding Share Number</w:t>
      </w:r>
      <w:r>
        <w:rPr>
          <w:rFonts w:ascii="Arial" w:cs="Arial" w:eastAsia="Arial" w:hAnsi="Arial"/>
          <w:sz w:val="16"/>
          <w:szCs w:val="16"/>
          <w:color w:val="auto"/>
        </w:rPr>
        <w:t>”). For any reason at any time, upon the written request of the Holder, the Company shall within five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i w:val="1"/>
          <w:i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of the issued and outstanding shares of Common Stock immediately after giving effect to the issuance of the shares of Common Stock issuable upon exercise of this Warrant) as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increase in the Maximum Percentage will not be effective until the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to the extent necessary to correct this paragraph or any portion of this paragraph which may be defective or inconsistent with the intended beneficial ownership limitation contained in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Notwithstanding the foregoing, at any time following notice of a Fundamental Transaction under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with respect to a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w:t>
      </w: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75" w:name="page76"/>
    <w:bookmarkEnd w:id="75"/>
    <w:p>
      <w:pPr>
        <w:jc w:val="both"/>
        <w:ind w:left="1300" w:hanging="644"/>
        <w:spacing w:after="0" w:line="285"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any Section herein (including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and Attribution Parties, to exceed 9.99% of the total number of issued and outstanding shares of Common Stock of the Company following such exercise, or (ii) the combined voting power of the securities of the Company beneficially owned by the Holder and its Affiliates and Attribution Parties to exceed 9.99% of the combined voting power of all of the securities of the Company then outstanding following such exercise. For purposes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aggregate number of shares of Common Stock or voting securities beneficially owned by the Holder and its Affiliates and Attribution Parties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Attribution Parties.</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71"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Subdivision or Combination of Common Stock</w:t>
      </w:r>
      <w:r>
        <w:rPr>
          <w:rFonts w:ascii="Arial" w:cs="Arial" w:eastAsia="Arial" w:hAnsi="Arial"/>
          <w:sz w:val="17"/>
          <w:szCs w:val="17"/>
          <w:color w:val="auto"/>
        </w:rPr>
        <w:t xml:space="preserve">. During such time as this Warrant is outstanding, if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become effective at the close of business on the date the subdivision or combination becomes effective.</w:t>
      </w:r>
    </w:p>
    <w:p>
      <w:pPr>
        <w:spacing w:after="0" w:line="178" w:lineRule="exact"/>
        <w:rPr>
          <w:rFonts w:ascii="Arial" w:cs="Arial" w:eastAsia="Arial" w:hAnsi="Arial"/>
          <w:sz w:val="17"/>
          <w:szCs w:val="17"/>
          <w:color w:val="auto"/>
        </w:rPr>
      </w:pPr>
    </w:p>
    <w:p>
      <w:pPr>
        <w:jc w:val="both"/>
        <w:ind w:left="1300" w:hanging="644"/>
        <w:spacing w:after="0" w:line="268"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above, if during such time as this Warrant is outstanding the Company grants, issues or sells any rights to purchase stock, warrants, securities or other property, in each case pro rata to the record holders of any class of shares of Common Stock (the “</w:t>
      </w:r>
      <w:r>
        <w:rPr>
          <w:rFonts w:ascii="Arial" w:cs="Arial" w:eastAsia="Arial" w:hAnsi="Arial"/>
          <w:sz w:val="17"/>
          <w:szCs w:val="17"/>
          <w:b w:val="1"/>
          <w:bCs w:val="1"/>
          <w:i w:val="1"/>
          <w:i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w:t>
      </w:r>
    </w:p>
    <w:p>
      <w:pPr>
        <w:spacing w:after="0" w:line="186" w:lineRule="exact"/>
        <w:rPr>
          <w:rFonts w:ascii="Arial" w:cs="Arial" w:eastAsia="Arial" w:hAnsi="Arial"/>
          <w:sz w:val="17"/>
          <w:szCs w:val="17"/>
          <w:color w:val="auto"/>
        </w:rPr>
      </w:pPr>
    </w:p>
    <w:p>
      <w:pPr>
        <w:jc w:val="both"/>
        <w:ind w:left="1300" w:hanging="644"/>
        <w:spacing w:after="0" w:line="268"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and the other Attribution Parties exceeding the Maximum Percentage).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jc w:val="both"/>
        <w:ind w:left="1300" w:hanging="644"/>
        <w:spacing w:after="0" w:line="286" w:lineRule="auto"/>
        <w:tabs>
          <w:tab w:leader="none" w:pos="13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with or into another Person, (ii) the Company, directly or indirectly, effects any sale, lease, license, assignment, transfer, conveyance or other disposition of all or substantially all of its assets in one or a series of related transactions (which, for the avoidance of doubt, shall not include a license or other agreement granting rights to intellectual property),</w:t>
      </w:r>
    </w:p>
    <w:p>
      <w:pPr>
        <w:spacing w:after="0" w:line="1" w:lineRule="exact"/>
        <w:rPr>
          <w:rFonts w:ascii="Arial" w:cs="Arial" w:eastAsia="Arial" w:hAnsi="Arial"/>
          <w:sz w:val="16"/>
          <w:szCs w:val="16"/>
          <w:color w:val="auto"/>
        </w:rPr>
      </w:pPr>
    </w:p>
    <w:p>
      <w:pPr>
        <w:jc w:val="both"/>
        <w:ind w:left="1300" w:firstLine="4"/>
        <w:spacing w:after="0" w:line="282" w:lineRule="auto"/>
        <w:tabs>
          <w:tab w:leader="none" w:pos="1638"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i w:val="1"/>
          <w:iCs w:val="1"/>
          <w:color w:val="auto"/>
        </w:rPr>
        <w:t>Fundamental Transaction</w:t>
      </w:r>
      <w:r>
        <w:rPr>
          <w:rFonts w:ascii="Arial" w:cs="Arial" w:eastAsia="Arial" w:hAnsi="Arial"/>
          <w:sz w:val="16"/>
          <w:szCs w:val="16"/>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on the exercise of this Warrant), the number of shares of Common Stock of the successor or acquiring corporation or of the Company, if it is the surviving corporation, and any additional consideration (together, the “</w:t>
      </w:r>
      <w:r>
        <w:rPr>
          <w:rFonts w:ascii="Arial" w:cs="Arial" w:eastAsia="Arial" w:hAnsi="Arial"/>
          <w:sz w:val="16"/>
          <w:szCs w:val="16"/>
          <w:b w:val="1"/>
          <w:bCs w:val="1"/>
          <w:i w:val="1"/>
          <w:iCs w:val="1"/>
          <w:color w:val="auto"/>
        </w:rPr>
        <w:t>Alternate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if any, receivable as a result of such Fundamental Transaction by a holder of the number of shares of Common Stock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which this Warrant is exercisable immediately prior to such Fundamental Transaction (without regard to any limitation in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Any such payment of such amount of such Alternative Consideration shall be made in the same form of consideration (whether securities, cash or property) as is given to the holders of Common Stock in such Fundamental Transaction, and if multiple forms of consideration are given, the consideration shall be paid to the Holder in the same proportion as such consideration is paid to the holders of Common Stock. The terms of any agreement pursuant to which a Fundamental Transaction is effected shall include terms requiring any such successor or surviving entity to comply with the provisions of this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and insuring that this Warrant (or any such replacement security) will be similarly adjusted upon any subsequent Fundamental Transaction. The Company shall cause any successor entity in a Fundamental Transaction in which the Company is not the survivor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xml:space="preserve">”) to assume in writing all of the obligations of the Company under this Warrant in accordance with the provisions of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the Holder may elect, at its sole option, by delivery of written notice to the Company to waive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to permit a Fundamental Transaction without the assumption of this Warrant.</w:t>
      </w:r>
    </w:p>
    <w:p>
      <w:pPr>
        <w:spacing w:after="0" w:line="19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any calculation of the number of shares of Common Stock deemed to be issued and outstanding as of a given date shall not include treasury shares, if any.</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90"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65" w:lineRule="exact"/>
        <w:rPr>
          <w:rFonts w:ascii="Arial" w:cs="Arial" w:eastAsia="Arial" w:hAnsi="Arial"/>
          <w:sz w:val="16"/>
          <w:szCs w:val="16"/>
          <w:color w:val="auto"/>
        </w:rPr>
      </w:pPr>
    </w:p>
    <w:p>
      <w:pPr>
        <w:jc w:val="both"/>
        <w:ind w:left="1300" w:hanging="644"/>
        <w:spacing w:after="0" w:line="296"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New Warrants</w:t>
      </w:r>
      <w:r>
        <w:rPr>
          <w:rFonts w:ascii="Arial" w:cs="Arial" w:eastAsia="Arial" w:hAnsi="Arial"/>
          <w:sz w:val="16"/>
          <w:szCs w:val="16"/>
          <w:color w:val="auto"/>
        </w:rPr>
        <w:t xml:space="preserve">.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w:t>
      </w:r>
      <w:r>
        <w:rPr>
          <w:rFonts w:ascii="Arial" w:cs="Arial" w:eastAsia="Arial" w:hAnsi="Arial"/>
          <w:sz w:val="16"/>
          <w:szCs w:val="16"/>
          <w:u w:val="single" w:color="auto"/>
          <w:color w:val="auto"/>
        </w:rPr>
        <w:t>Section 4(a)</w:t>
      </w:r>
      <w:r>
        <w:rPr>
          <w:rFonts w:ascii="Arial" w:cs="Arial" w:eastAsia="Arial" w:hAnsi="Arial"/>
          <w:sz w:val="16"/>
          <w:szCs w:val="16"/>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w:t>
      </w:r>
    </w:p>
    <w:p>
      <w:pPr>
        <w:sectPr>
          <w:pgSz w:w="11900" w:h="16838" w:orient="portrait"/>
          <w:cols w:equalWidth="0" w:num="1">
            <w:col w:w="11240"/>
          </w:cols>
          <w:pgMar w:left="320" w:top="584" w:right="339" w:bottom="0" w:gutter="0" w:footer="0" w:header="0"/>
        </w:sectPr>
      </w:pPr>
    </w:p>
    <w:bookmarkStart w:id="77" w:name="page78"/>
    <w:bookmarkEnd w:id="77"/>
    <w:p>
      <w:pPr>
        <w:ind w:left="180"/>
        <w:spacing w:after="0" w:line="277" w:lineRule="auto"/>
        <w:rPr>
          <w:sz w:val="20"/>
          <w:szCs w:val="20"/>
          <w:color w:val="auto"/>
        </w:rPr>
      </w:pPr>
      <w:r>
        <w:rPr>
          <w:rFonts w:ascii="Arial" w:cs="Arial" w:eastAsia="Arial" w:hAnsi="Arial"/>
          <w:sz w:val="18"/>
          <w:szCs w:val="18"/>
          <w:color w:val="auto"/>
        </w:rPr>
        <w:t>Issue Date set forth on the first page of this Warrant and shall be identical with this Warrant except as to the number of Warrant Shares issuable pursuant thereto.</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78" w:name="page79"/>
    <w:bookmarkEnd w:id="78"/>
    <w:p>
      <w:pPr>
        <w:jc w:val="both"/>
        <w:ind w:left="800" w:hanging="644"/>
        <w:spacing w:after="0" w:line="269" w:lineRule="auto"/>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initially serve as warrant agent under this Warrant. The Company shall register ownership of this Warrant, upon records to be maintained by the Company for that purpose (the “</w:t>
      </w:r>
      <w:r>
        <w:rPr>
          <w:rFonts w:ascii="Arial" w:cs="Arial" w:eastAsia="Arial" w:hAnsi="Arial"/>
          <w:sz w:val="17"/>
          <w:szCs w:val="17"/>
          <w:b w:val="1"/>
          <w:bCs w:val="1"/>
          <w:i w:val="1"/>
          <w:iCs w:val="1"/>
          <w:color w:val="auto"/>
        </w:rPr>
        <w:t>Warrant Register</w:t>
      </w:r>
      <w:r>
        <w:rPr>
          <w:rFonts w:ascii="Arial" w:cs="Arial" w:eastAsia="Arial" w:hAnsi="Arial"/>
          <w:sz w:val="17"/>
          <w:szCs w:val="17"/>
          <w:color w:val="auto"/>
        </w:rPr>
        <w:t>”), in the name of the record Holder (which shall include the initial Holder or, as the case may be, any assignee to which this Warrant is assigned hereunder) from time to time.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ind w:left="800" w:hanging="644"/>
        <w:spacing w:after="0" w:line="277" w:lineRule="auto"/>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xml:space="preserve">. This Warrant does not entitle the Holder to any voting rights, dividends or other rights as a stockholder of the Company prior to the exercise hereof as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00" w:hanging="644"/>
        <w:spacing w:after="0" w:line="257" w:lineRule="auto"/>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The Company covenants that upon receipt by the Company of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7" w:lineRule="exact"/>
        <w:rPr>
          <w:rFonts w:ascii="Arial" w:cs="Arial" w:eastAsia="Arial" w:hAnsi="Arial"/>
          <w:sz w:val="18"/>
          <w:szCs w:val="18"/>
          <w:color w:val="auto"/>
        </w:rPr>
      </w:pPr>
    </w:p>
    <w:p>
      <w:pPr>
        <w:jc w:val="both"/>
        <w:ind w:left="800" w:hanging="644"/>
        <w:spacing w:after="0" w:line="263" w:lineRule="auto"/>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3" w:lineRule="exact"/>
        <w:rPr>
          <w:rFonts w:ascii="Arial" w:cs="Arial" w:eastAsia="Arial" w:hAnsi="Arial"/>
          <w:sz w:val="18"/>
          <w:szCs w:val="18"/>
          <w:color w:val="auto"/>
        </w:rPr>
      </w:pPr>
    </w:p>
    <w:p>
      <w:pPr>
        <w:jc w:val="both"/>
        <w:ind w:left="800" w:hanging="644"/>
        <w:spacing w:after="0" w:line="284" w:lineRule="auto"/>
        <w:tabs>
          <w:tab w:leader="none" w:pos="8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its reasonable best efforts to obtain all such authorizations, exemptions or consents from any public regulatory body having jurisdiction thereof, as may be, necessary to enable the Company to perform its obligations under this Warrant.</w:t>
      </w:r>
    </w:p>
    <w:p>
      <w:pPr>
        <w:spacing w:after="0" w:line="3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79" w:name="page80"/>
    <w:bookmarkEnd w:id="79"/>
    <w:p>
      <w:pPr>
        <w:ind w:left="644" w:hanging="644"/>
        <w:spacing w:after="0" w:line="277" w:lineRule="auto"/>
        <w:tabs>
          <w:tab w:leader="none" w:pos="6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the conflicts of law principles thereof.</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the Holder shall operate as a waiver of such right or otherwise prejudice the Holder’s rights, powers or remedies.</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4" w:hanging="316"/>
        <w:spacing w:after="0" w:line="271" w:lineRule="auto"/>
        <w:tabs>
          <w:tab w:leader="none" w:pos="964"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Notice Procedures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 (e) upon actual receipt by the party to whom such notice is required to be given. The addresses for such communications shall be:</w:t>
      </w:r>
    </w:p>
    <w:p>
      <w:pPr>
        <w:spacing w:after="0" w:line="178"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CervoMed Inc.</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20 Park Plaza, Suite 424</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Email: jalam@eippharma.com</w:t>
      </w:r>
    </w:p>
    <w:p>
      <w:pPr>
        <w:spacing w:after="0" w:line="211"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Attention: William C. Hicks</w:t>
      </w:r>
    </w:p>
    <w:p>
      <w:pPr>
        <w:spacing w:after="0" w:line="9"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Scott M. Stanton</w:t>
      </w:r>
    </w:p>
    <w:p>
      <w:pPr>
        <w:spacing w:after="0" w:line="9"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Jason S. McCaffrey</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Email: wchicks@mintz.com</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smstanton@mintz.com</w:t>
      </w:r>
    </w:p>
    <w:p>
      <w:pPr>
        <w:spacing w:after="0" w:line="9" w:lineRule="exact"/>
        <w:rPr>
          <w:sz w:val="20"/>
          <w:szCs w:val="20"/>
          <w:color w:val="auto"/>
        </w:rPr>
      </w:pPr>
    </w:p>
    <w:p>
      <w:pPr>
        <w:ind w:left="2764"/>
        <w:spacing w:after="0"/>
        <w:rPr>
          <w:sz w:val="20"/>
          <w:szCs w:val="20"/>
          <w:color w:val="auto"/>
        </w:rPr>
      </w:pPr>
      <w:r>
        <w:rPr>
          <w:rFonts w:ascii="Arial" w:cs="Arial" w:eastAsia="Arial" w:hAnsi="Arial"/>
          <w:sz w:val="18"/>
          <w:szCs w:val="18"/>
          <w:color w:val="auto"/>
        </w:rPr>
        <w:t>jsmccaffrey@mintz.com</w:t>
      </w:r>
    </w:p>
    <w:p>
      <w:pPr>
        <w:spacing w:after="0" w:line="211"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If to the Holder:</w:t>
      </w:r>
    </w:p>
    <w:p>
      <w:pPr>
        <w:spacing w:after="0" w:line="225" w:lineRule="exact"/>
        <w:rPr>
          <w:sz w:val="20"/>
          <w:szCs w:val="20"/>
          <w:color w:val="auto"/>
        </w:rPr>
      </w:pPr>
    </w:p>
    <w:p>
      <w:pPr>
        <w:ind w:left="2584"/>
        <w:spacing w:after="0" w:line="277" w:lineRule="auto"/>
        <w:rPr>
          <w:sz w:val="20"/>
          <w:szCs w:val="20"/>
          <w:color w:val="auto"/>
        </w:rPr>
      </w:pPr>
      <w:r>
        <w:rPr>
          <w:rFonts w:ascii="Arial" w:cs="Arial" w:eastAsia="Arial" w:hAnsi="Arial"/>
          <w:sz w:val="18"/>
          <w:szCs w:val="18"/>
          <w:color w:val="auto"/>
        </w:rPr>
        <w:t xml:space="preserve">To the address, email address or facsimile number set forth in the Warrant Register, or as otherwise provided by the Holder to the Company in accordance with this </w:t>
      </w:r>
      <w:r>
        <w:rPr>
          <w:rFonts w:ascii="Arial" w:cs="Arial" w:eastAsia="Arial" w:hAnsi="Arial"/>
          <w:sz w:val="18"/>
          <w:szCs w:val="18"/>
          <w:u w:val="single" w:color="auto"/>
          <w:color w:val="auto"/>
        </w:rPr>
        <w:t>Section 5(g)(i)</w:t>
      </w:r>
      <w:r>
        <w:rPr>
          <w:rFonts w:ascii="Arial" w:cs="Arial" w:eastAsia="Arial" w:hAnsi="Arial"/>
          <w:sz w:val="18"/>
          <w:szCs w:val="18"/>
          <w:color w:val="auto"/>
        </w:rPr>
        <w:t>.</w:t>
      </w:r>
    </w:p>
    <w:p>
      <w:pPr>
        <w:spacing w:after="0" w:line="170" w:lineRule="exact"/>
        <w:rPr>
          <w:sz w:val="20"/>
          <w:szCs w:val="20"/>
          <w:color w:val="auto"/>
        </w:rPr>
      </w:pPr>
    </w:p>
    <w:p>
      <w:pPr>
        <w:jc w:val="both"/>
        <w:ind w:left="1304" w:hanging="656"/>
        <w:spacing w:after="0" w:line="286" w:lineRule="auto"/>
        <w:tabs>
          <w:tab w:leader="none" w:pos="130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xml:space="preserve">. Whenever the Exercise Price or number of Warrant Shares is adjusted pursuant to any provision of </w:t>
      </w:r>
      <w:r>
        <w:rPr>
          <w:rFonts w:ascii="Arial" w:cs="Arial" w:eastAsia="Arial" w:hAnsi="Arial"/>
          <w:sz w:val="17"/>
          <w:szCs w:val="17"/>
          <w:u w:val="single" w:color="auto"/>
          <w:color w:val="auto"/>
        </w:rPr>
        <w:t>Section 3</w:t>
      </w:r>
      <w:r>
        <w:rPr>
          <w:rFonts w:ascii="Arial" w:cs="Arial" w:eastAsia="Arial" w:hAnsi="Arial"/>
          <w:sz w:val="17"/>
          <w:szCs w:val="17"/>
          <w:color w:val="auto"/>
        </w:rPr>
        <w:t>, the Company shall promptly provide the Holder a notice setting forth the Exercise Price and number of Warrant Shares after such adjustment and setting forth a brief statement of the facts requiring such adjustment.</w:t>
      </w:r>
    </w:p>
    <w:p>
      <w:pPr>
        <w:spacing w:after="0" w:line="16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80" w:name="page81"/>
    <w:bookmarkEnd w:id="80"/>
    <w:p>
      <w:pPr>
        <w:jc w:val="both"/>
        <w:ind w:left="1304" w:hanging="656"/>
        <w:spacing w:after="0" w:line="284" w:lineRule="auto"/>
        <w:tabs>
          <w:tab w:leader="none" w:pos="1304"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the Holder</w:t>
      </w:r>
      <w:r>
        <w:rPr>
          <w:rFonts w:ascii="Arial" w:cs="Arial" w:eastAsia="Arial" w:hAnsi="Arial"/>
          <w:sz w:val="16"/>
          <w:szCs w:val="16"/>
          <w:color w:val="auto"/>
        </w:rPr>
        <w:t xml:space="preserve">. After the Issue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 Holder agrees to maintain any information disclosed pursuant to this </w:t>
      </w:r>
      <w:r>
        <w:rPr>
          <w:rFonts w:ascii="Arial" w:cs="Arial" w:eastAsia="Arial" w:hAnsi="Arial"/>
          <w:sz w:val="16"/>
          <w:szCs w:val="16"/>
          <w:u w:val="single" w:color="auto"/>
          <w:color w:val="auto"/>
        </w:rPr>
        <w:t>Section 5(g)(iii)</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any such information.</w:t>
      </w:r>
    </w:p>
    <w:p>
      <w:pPr>
        <w:spacing w:after="0" w:line="178" w:lineRule="exact"/>
        <w:rPr>
          <w:rFonts w:ascii="Arial" w:cs="Arial" w:eastAsia="Arial" w:hAnsi="Arial"/>
          <w:sz w:val="16"/>
          <w:szCs w:val="16"/>
          <w:color w:val="auto"/>
        </w:rPr>
      </w:pPr>
    </w:p>
    <w:p>
      <w:pPr>
        <w:jc w:val="both"/>
        <w:ind w:left="644" w:hanging="644"/>
        <w:spacing w:after="0" w:line="259"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Warrant Shares on a “cashless exercise” pursuant to Section 2(c) herein, in no event shall the Company be required to net cash settle an exercise of this Warrant.</w:t>
      </w:r>
    </w:p>
    <w:p>
      <w:pPr>
        <w:spacing w:after="0" w:line="192"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81" w:name="page82"/>
    <w:bookmarkEnd w:id="81"/>
    <w:p>
      <w:pPr>
        <w:jc w:val="both"/>
        <w:ind w:left="644" w:hanging="644"/>
        <w:spacing w:after="0" w:line="284" w:lineRule="auto"/>
        <w:tabs>
          <w:tab w:leader="none" w:pos="64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Holder agrees to keep confidential any proprietary information relating to the Company delivered by the Company hereunder; 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w:t>
      </w:r>
      <w:r>
        <w:rPr>
          <w:rFonts w:ascii="Arial" w:cs="Arial" w:eastAsia="Arial" w:hAnsi="Arial"/>
          <w:sz w:val="16"/>
          <w:szCs w:val="16"/>
          <w:u w:val="single" w:color="auto"/>
          <w:color w:val="auto"/>
        </w:rPr>
        <w:t>Section 5(m)</w:t>
      </w:r>
      <w:r>
        <w:rPr>
          <w:rFonts w:ascii="Arial" w:cs="Arial" w:eastAsia="Arial" w:hAnsi="Arial"/>
          <w:sz w:val="16"/>
          <w:szCs w:val="16"/>
          <w:color w:val="auto"/>
        </w:rPr>
        <w:t>, (iii) upon order, subpoena, or other process of any court or administrative agency or otherwise required by law, (iv) upon the request or demand of any regulatory agency or authority having jurisdiction over such party, (v) which has been publicly disclosed without breach of any obligation to the Company, (vi) which has been obtained from any Person that is not a party hereto or an Affiliate of any such party without any breach of any obligation to the Company,</w:t>
      </w:r>
    </w:p>
    <w:p>
      <w:pPr>
        <w:spacing w:after="0" w:line="2" w:lineRule="exact"/>
        <w:rPr>
          <w:rFonts w:ascii="Arial" w:cs="Arial" w:eastAsia="Arial" w:hAnsi="Arial"/>
          <w:sz w:val="16"/>
          <w:szCs w:val="16"/>
          <w:color w:val="auto"/>
        </w:rPr>
      </w:pPr>
    </w:p>
    <w:p>
      <w:pPr>
        <w:jc w:val="both"/>
        <w:ind w:left="644" w:firstLine="4"/>
        <w:spacing w:after="0" w:line="253" w:lineRule="auto"/>
        <w:tabs>
          <w:tab w:leader="none" w:pos="1019"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w:t>
      </w:r>
    </w:p>
    <w:p>
      <w:pPr>
        <w:spacing w:after="0" w:line="19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68"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Warrant to be executed by its officer thereunto duly authorized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indicated.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Alam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Pre-Funded Warrant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CervoMed Inc.</w:t>
      </w:r>
    </w:p>
    <w:p>
      <w:pPr>
        <w:spacing w:after="0" w:line="225" w:lineRule="exact"/>
        <w:rPr>
          <w:sz w:val="20"/>
          <w:szCs w:val="20"/>
          <w:color w:val="auto"/>
        </w:rPr>
      </w:pPr>
    </w:p>
    <w:p>
      <w:pPr>
        <w:ind w:left="660" w:right="60" w:hanging="652"/>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undersigned holder of Warrant No. PF- hereby elects to purchase Warrant Shares of the Company pursuant to the terms of the attached Warrant (only if exercised in full), and tenders herewith payment of the exercise price in full, together with all applicable transfer taxes, if any.</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9"/>
        </w:numPr>
        <w:rPr>
          <w:rFonts w:ascii="MS PGothic" w:cs="MS PGothic" w:eastAsia="MS PGothic" w:hAnsi="MS PGothic"/>
          <w:sz w:val="18"/>
          <w:szCs w:val="18"/>
          <w:color w:val="auto"/>
        </w:rPr>
      </w:pPr>
      <w:r>
        <w:rPr>
          <w:rFonts w:ascii="Arial" w:cs="Arial" w:eastAsia="Arial" w:hAnsi="Arial"/>
          <w:sz w:val="18"/>
          <w:szCs w:val="18"/>
          <w:color w:val="auto"/>
        </w:rPr>
        <w:t>Cash Exercise: lawful money of the United States; or</w:t>
      </w:r>
    </w:p>
    <w:p>
      <w:pPr>
        <w:spacing w:after="0" w:line="252" w:lineRule="exact"/>
        <w:rPr>
          <w:rFonts w:ascii="MS PGothic" w:cs="MS PGothic" w:eastAsia="MS PGothic" w:hAnsi="MS PGothic"/>
          <w:sz w:val="18"/>
          <w:szCs w:val="18"/>
          <w:color w:val="auto"/>
        </w:rPr>
      </w:pPr>
    </w:p>
    <w:p>
      <w:pPr>
        <w:jc w:val="both"/>
        <w:ind w:left="1300" w:hanging="644"/>
        <w:spacing w:after="0" w:line="263" w:lineRule="auto"/>
        <w:tabs>
          <w:tab w:leader="none" w:pos="1300" w:val="left"/>
        </w:tabs>
        <w:numPr>
          <w:ilvl w:val="1"/>
          <w:numId w:val="99"/>
        </w:numPr>
        <w:rPr>
          <w:rFonts w:ascii="MS PGothic" w:cs="MS PGothic" w:eastAsia="MS PGothic" w:hAnsi="MS PGothic"/>
          <w:sz w:val="18"/>
          <w:szCs w:val="18"/>
          <w:color w:val="auto"/>
        </w:rPr>
      </w:pPr>
      <w:r>
        <w:rPr>
          <w:rFonts w:ascii="Arial" w:cs="Arial" w:eastAsia="Arial" w:hAnsi="Arial"/>
          <w:sz w:val="18"/>
          <w:szCs w:val="18"/>
          <w:color w:val="auto"/>
        </w:rPr>
        <w:t xml:space="preserve">Cashless Exercise: the cancellation of such number of Warrant Shares as is necessary, in accordance with the formula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2(c)</w:t>
      </w:r>
      <w:r>
        <w:rPr>
          <w:rFonts w:ascii="Arial" w:cs="Arial" w:eastAsia="Arial" w:hAnsi="Arial"/>
          <w:sz w:val="18"/>
          <w:szCs w:val="18"/>
          <w:color w:val="auto"/>
        </w:rPr>
        <w:t xml:space="preserve">, to exercise this Warrant with respect to the maximum number of Warrant Shares purchasable pursuant to the cashless exercise procedure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83" w:lineRule="exact"/>
        <w:rPr>
          <w:rFonts w:ascii="MS PGothic" w:cs="MS PGothic" w:eastAsia="MS PGothic" w:hAnsi="MS PGothic"/>
          <w:sz w:val="18"/>
          <w:szCs w:val="18"/>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of the Warrant to which this notice relates.</w:t>
      </w:r>
    </w:p>
    <w:p>
      <w:pPr>
        <w:spacing w:after="0" w:line="1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undersigned is an “accredited investor” as defined in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-988060</wp:posOffset>
            </wp:positionV>
            <wp:extent cx="67208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288925</wp:posOffset>
            </wp:positionV>
            <wp:extent cx="64204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572135</wp:posOffset>
            </wp:positionV>
            <wp:extent cx="64204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854710</wp:posOffset>
            </wp:positionV>
            <wp:extent cx="64204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tabs>
          <w:tab w:leader="none" w:pos="2360" w:val="left"/>
          <w:tab w:leader="none" w:pos="346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8"/>
          <w:szCs w:val="18"/>
          <w:color w:val="auto"/>
        </w:rPr>
        <w:t>] all of or [</w:t>
      </w:r>
      <w:r>
        <w:rPr>
          <w:sz w:val="20"/>
          <w:szCs w:val="20"/>
          <w:color w:val="auto"/>
        </w:rPr>
        <w:tab/>
      </w:r>
      <w:r>
        <w:rPr>
          <w:rFonts w:ascii="Arial" w:cs="Arial" w:eastAsia="Arial" w:hAnsi="Arial"/>
          <w:sz w:val="16"/>
          <w:szCs w:val="16"/>
          <w:color w:val="auto"/>
        </w:rPr>
        <w:t>] shares of the foregoing Warrant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64204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520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297815</wp:posOffset>
            </wp:positionV>
            <wp:extent cx="5520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580390</wp:posOffset>
            </wp:positionV>
            <wp:extent cx="5520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103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5126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51263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297815</wp:posOffset>
            </wp:positionV>
            <wp:extent cx="51263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580390</wp:posOffset>
            </wp:positionV>
            <wp:extent cx="5126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58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This Indemnification Agreement (the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made and entered into this ___ day of ______________, by and between CervoMed Inc.</w:t>
      </w:r>
    </w:p>
    <w:p>
      <w:pPr>
        <w:spacing w:after="0" w:line="50" w:lineRule="exact"/>
        <w:rPr>
          <w:sz w:val="20"/>
          <w:szCs w:val="20"/>
          <w:color w:val="auto"/>
        </w:rPr>
      </w:pPr>
    </w:p>
    <w:p>
      <w:pPr>
        <w:ind w:left="160" w:right="140"/>
        <w:spacing w:after="0" w:line="260" w:lineRule="auto"/>
        <w:rPr>
          <w:sz w:val="20"/>
          <w:szCs w:val="20"/>
          <w:color w:val="auto"/>
        </w:rPr>
      </w:pPr>
      <w:r>
        <w:rPr>
          <w:rFonts w:ascii="Arial" w:cs="Arial" w:eastAsia="Arial" w:hAnsi="Arial"/>
          <w:sz w:val="18"/>
          <w:szCs w:val="18"/>
          <w:color w:val="auto"/>
        </w:rPr>
        <w:t>(f/k/a Diffusion Pharmaceuticals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which term shall include, where appropriate, any Entity (as hereinafter defined) controlled directly or indirectly by the Company), and ___________________________ (the “</w:t>
      </w:r>
      <w:r>
        <w:rPr>
          <w:rFonts w:ascii="Arial" w:cs="Arial" w:eastAsia="Arial" w:hAnsi="Arial"/>
          <w:sz w:val="18"/>
          <w:szCs w:val="18"/>
          <w:b w:val="1"/>
          <w:bCs w:val="1"/>
          <w:u w:val="single" w:color="auto"/>
          <w:color w:val="auto"/>
        </w:rPr>
        <w:t>Indemnitee</w:t>
      </w:r>
      <w:r>
        <w:rPr>
          <w:rFonts w:ascii="Arial" w:cs="Arial" w:eastAsia="Arial" w:hAnsi="Arial"/>
          <w:sz w:val="18"/>
          <w:szCs w:val="18"/>
          <w:color w:val="auto"/>
        </w:rPr>
        <w: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WHEREAS, it is essential to the Company that it be able to retain and attract as directors and officers the most capable persons available;</w:t>
      </w:r>
    </w:p>
    <w:p>
      <w:pPr>
        <w:spacing w:after="0" w:line="237" w:lineRule="exact"/>
        <w:rPr>
          <w:sz w:val="20"/>
          <w:szCs w:val="20"/>
          <w:color w:val="auto"/>
        </w:rPr>
      </w:pPr>
    </w:p>
    <w:p>
      <w:pPr>
        <w:ind w:left="160" w:right="620" w:firstLine="648"/>
        <w:spacing w:after="0" w:line="342" w:lineRule="auto"/>
        <w:rPr>
          <w:sz w:val="20"/>
          <w:szCs w:val="20"/>
          <w:color w:val="auto"/>
        </w:rPr>
      </w:pPr>
      <w:r>
        <w:rPr>
          <w:rFonts w:ascii="Arial" w:cs="Arial" w:eastAsia="Arial" w:hAnsi="Arial"/>
          <w:sz w:val="16"/>
          <w:szCs w:val="16"/>
          <w:color w:val="auto"/>
        </w:rPr>
        <w:t>WHEREAS, increased corporate litigation has subjected directors and officers to litigation risks and expenses, and the limitations on the availability of directors and officers liability insurance have made it increasingly difficult for the Company to attract and retain such persons;</w:t>
      </w:r>
    </w:p>
    <w:p>
      <w:pPr>
        <w:spacing w:after="0" w:line="120" w:lineRule="exact"/>
        <w:rPr>
          <w:sz w:val="20"/>
          <w:szCs w:val="20"/>
          <w:color w:val="auto"/>
        </w:rPr>
      </w:pPr>
    </w:p>
    <w:p>
      <w:pPr>
        <w:ind w:left="160" w:right="180" w:firstLine="648"/>
        <w:spacing w:after="0" w:line="266" w:lineRule="auto"/>
        <w:rPr>
          <w:sz w:val="20"/>
          <w:szCs w:val="20"/>
          <w:color w:val="auto"/>
        </w:rPr>
      </w:pPr>
      <w:r>
        <w:rPr>
          <w:rFonts w:ascii="Arial" w:cs="Arial" w:eastAsia="Arial" w:hAnsi="Arial"/>
          <w:sz w:val="18"/>
          <w:szCs w:val="18"/>
          <w:color w:val="auto"/>
        </w:rPr>
        <w:t>WHEREAS, the Company’s Certificate of Incorporation, as amended, and Bylaws (the “</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and the “</w:t>
      </w: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respectively), provide that the Company is authorized to indemnify its directors and officers to the fullest extent permissible by applicable law and permit it to make other indemnification arrangements and agreements;</w:t>
      </w:r>
    </w:p>
    <w:p>
      <w:pPr>
        <w:spacing w:after="0" w:line="180" w:lineRule="exact"/>
        <w:rPr>
          <w:sz w:val="20"/>
          <w:szCs w:val="20"/>
          <w:color w:val="auto"/>
        </w:rPr>
      </w:pPr>
    </w:p>
    <w:p>
      <w:pPr>
        <w:ind w:left="160" w:right="20" w:firstLine="648"/>
        <w:spacing w:after="0" w:line="263" w:lineRule="auto"/>
        <w:rPr>
          <w:sz w:val="20"/>
          <w:szCs w:val="20"/>
          <w:color w:val="auto"/>
        </w:rPr>
      </w:pPr>
      <w:r>
        <w:rPr>
          <w:rFonts w:ascii="Arial" w:cs="Arial" w:eastAsia="Arial" w:hAnsi="Arial"/>
          <w:sz w:val="18"/>
          <w:szCs w:val="18"/>
          <w:color w:val="auto"/>
        </w:rPr>
        <w:t>WHEREAS, the Company desires to provide Indemnitee with specific contractual assurance of Indemnitee’s rights to full indemnification against litigation risks and expenses (regardless, among other things, of any amendment to or revocation of the Certificate or Bylaws or any change in the ownership of the Company or the composition of its board of directors (the “</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w:t>
      </w:r>
    </w:p>
    <w:p>
      <w:pPr>
        <w:spacing w:after="0" w:line="184" w:lineRule="exact"/>
        <w:rPr>
          <w:sz w:val="20"/>
          <w:szCs w:val="20"/>
          <w:color w:val="auto"/>
        </w:rPr>
      </w:pPr>
    </w:p>
    <w:p>
      <w:pPr>
        <w:ind w:left="160" w:right="60" w:firstLine="648"/>
        <w:spacing w:after="0" w:line="277" w:lineRule="auto"/>
        <w:rPr>
          <w:sz w:val="20"/>
          <w:szCs w:val="20"/>
          <w:color w:val="auto"/>
        </w:rPr>
      </w:pPr>
      <w:r>
        <w:rPr>
          <w:rFonts w:ascii="Arial" w:cs="Arial" w:eastAsia="Arial" w:hAnsi="Arial"/>
          <w:sz w:val="18"/>
          <w:szCs w:val="18"/>
          <w:color w:val="auto"/>
        </w:rPr>
        <w:t>WHEREAS, the Company intends that this Agreement provide Indemnitee with greater protection than that which is provided by the Certificate and Bylaws; and</w:t>
      </w:r>
    </w:p>
    <w:p>
      <w:pPr>
        <w:spacing w:after="0" w:line="170" w:lineRule="exact"/>
        <w:rPr>
          <w:sz w:val="20"/>
          <w:szCs w:val="20"/>
          <w:color w:val="auto"/>
        </w:rPr>
      </w:pPr>
    </w:p>
    <w:p>
      <w:pPr>
        <w:ind w:left="160" w:right="220" w:firstLine="648"/>
        <w:spacing w:after="0" w:line="277" w:lineRule="auto"/>
        <w:rPr>
          <w:sz w:val="20"/>
          <w:szCs w:val="20"/>
          <w:color w:val="auto"/>
        </w:rPr>
      </w:pPr>
      <w:r>
        <w:rPr>
          <w:rFonts w:ascii="Arial" w:cs="Arial" w:eastAsia="Arial" w:hAnsi="Arial"/>
          <w:sz w:val="18"/>
          <w:szCs w:val="18"/>
          <w:color w:val="auto"/>
        </w:rPr>
        <w:t>WHEREAS, Indemnitee is relying upon the rights afforded under this Agreement in becoming or continuing as a director and/or officer of the Company.</w:t>
      </w:r>
    </w:p>
    <w:p>
      <w:pPr>
        <w:spacing w:after="0" w:line="170" w:lineRule="exact"/>
        <w:rPr>
          <w:sz w:val="20"/>
          <w:szCs w:val="20"/>
          <w:color w:val="auto"/>
        </w:rPr>
      </w:pPr>
    </w:p>
    <w:p>
      <w:pPr>
        <w:ind w:left="160" w:right="260" w:firstLine="648"/>
        <w:spacing w:after="0" w:line="277" w:lineRule="auto"/>
        <w:rPr>
          <w:sz w:val="20"/>
          <w:szCs w:val="20"/>
          <w:color w:val="auto"/>
        </w:rPr>
      </w:pPr>
      <w:r>
        <w:rPr>
          <w:rFonts w:ascii="Arial" w:cs="Arial" w:eastAsia="Arial" w:hAnsi="Arial"/>
          <w:sz w:val="18"/>
          <w:szCs w:val="18"/>
          <w:color w:val="auto"/>
        </w:rPr>
        <w:t>NOW, THEREFORE, in consideration of the promises and the covenants contained herein, the Company and Indemnitee do hereby covenant and agree as follows:</w:t>
      </w:r>
    </w:p>
    <w:p>
      <w:pPr>
        <w:spacing w:after="0" w:line="170"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140" w:firstLine="980"/>
        <w:spacing w:after="0" w:line="255" w:lineRule="auto"/>
        <w:tabs>
          <w:tab w:leader="none" w:pos="13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Status</w:t>
      </w:r>
      <w:r>
        <w:rPr>
          <w:rFonts w:ascii="Arial" w:cs="Arial" w:eastAsia="Arial" w:hAnsi="Arial"/>
          <w:sz w:val="18"/>
          <w:szCs w:val="18"/>
          <w:color w:val="auto"/>
        </w:rPr>
        <w:t>” describes the status of a person who is serving or has served (i) as a director and/or officer of the Company, (ii) in any capacity with respect to any employee benefit plan of the Company or (at the request of the Company) any employee benefit plan of any other Entity, or (iii) as a director and/or officer of any other Entity at the request of the Company. For purposes of subsections (ii) and (iii) of this Section 1(a), if Indemnitee is serving or has served as a director and/or officer of a Subsidiary (as defined below), or in any capacity with respect to any employee benefit plan of a Subsidiary, Indemnitee shall be deemed to be serving at the request of the Company. If Indemnitee is an employee of the Company, Corporate Status shall not include actions taken by Indemnitee in any capacity other than as a director and/or officer or as a representative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1360" w:hanging="380"/>
        <w:spacing w:after="0"/>
        <w:tabs>
          <w:tab w:leader="none" w:pos="13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Entity</w:t>
      </w:r>
      <w:r>
        <w:rPr>
          <w:rFonts w:ascii="Arial" w:cs="Arial" w:eastAsia="Arial" w:hAnsi="Arial"/>
          <w:sz w:val="16"/>
          <w:szCs w:val="16"/>
          <w:color w:val="auto"/>
        </w:rPr>
        <w:t>” shall mean any corporation, partnership, limited liability company, joint venture, trust, foundation, association, organization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legal entity.</w:t>
      </w:r>
    </w:p>
    <w:p>
      <w:pPr>
        <w:spacing w:after="0" w:line="206" w:lineRule="exact"/>
        <w:rPr>
          <w:rFonts w:ascii="Arial" w:cs="Arial" w:eastAsia="Arial" w:hAnsi="Arial"/>
          <w:sz w:val="16"/>
          <w:szCs w:val="16"/>
          <w:color w:val="auto"/>
        </w:rPr>
      </w:pPr>
    </w:p>
    <w:p>
      <w:pPr>
        <w:ind w:firstLine="980"/>
        <w:spacing w:after="0" w:line="256" w:lineRule="auto"/>
        <w:tabs>
          <w:tab w:leader="none" w:pos="13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shall mean all fees, costs and expenses incurred by Indemnitee in connection with any Proceeding (as defined below), including, without limitation, reasonable attorneys’ fees, disbursements and retainers (including, without limitation, any such fees, disbursements and retainers incurred by Indemnitee pursuant to Sections 11 and 12(c) of this Agreement), fees and disbursements of expert witnesses, private investigators and professional advisors (including, without limitation, accountants and investment bankers), court costs, transcript costs, fees of experts, travel expenses, duplicating, printing and binding costs, telephone and fax transmission charges, postage, delivery services, secretarial services and other disbursements and expenses.</w:t>
      </w:r>
    </w:p>
    <w:p>
      <w:pPr>
        <w:spacing w:after="0" w:line="187" w:lineRule="exact"/>
        <w:rPr>
          <w:rFonts w:ascii="Arial" w:cs="Arial" w:eastAsia="Arial" w:hAnsi="Arial"/>
          <w:sz w:val="18"/>
          <w:szCs w:val="18"/>
          <w:color w:val="auto"/>
        </w:rPr>
      </w:pPr>
    </w:p>
    <w:p>
      <w:pPr>
        <w:ind w:right="340" w:firstLine="980"/>
        <w:spacing w:after="0" w:line="282" w:lineRule="auto"/>
        <w:tabs>
          <w:tab w:leader="none" w:pos="13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Indemnifiable Expenses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Indemnifiable Liabilities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Indemnifiable Amounts</w:t>
      </w:r>
      <w:r>
        <w:rPr>
          <w:rFonts w:ascii="Arial" w:cs="Arial" w:eastAsia="Arial" w:hAnsi="Arial"/>
          <w:sz w:val="18"/>
          <w:szCs w:val="18"/>
          <w:color w:val="auto"/>
        </w:rPr>
        <w:t>” shall have the meanings ascribed to those terms in Section 3(a) below.</w:t>
      </w:r>
    </w:p>
    <w:p>
      <w:pPr>
        <w:spacing w:after="0" w:line="161" w:lineRule="exact"/>
        <w:rPr>
          <w:rFonts w:ascii="Arial" w:cs="Arial" w:eastAsia="Arial" w:hAnsi="Arial"/>
          <w:sz w:val="18"/>
          <w:szCs w:val="18"/>
          <w:color w:val="auto"/>
        </w:rPr>
      </w:pPr>
    </w:p>
    <w:p>
      <w:pPr>
        <w:ind w:left="1360" w:hanging="380"/>
        <w:spacing w:after="0"/>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Liabilities</w:t>
      </w:r>
      <w:r>
        <w:rPr>
          <w:rFonts w:ascii="Arial" w:cs="Arial" w:eastAsia="Arial" w:hAnsi="Arial"/>
          <w:sz w:val="17"/>
          <w:szCs w:val="17"/>
          <w:color w:val="auto"/>
        </w:rPr>
        <w:t>” shall mean judgments, damages, liabilities, losses, penalties, excise taxes, fines and amounts paid in settlement.</w:t>
      </w:r>
    </w:p>
    <w:p>
      <w:pPr>
        <w:spacing w:after="0" w:line="236" w:lineRule="exact"/>
        <w:rPr>
          <w:rFonts w:ascii="Arial" w:cs="Arial" w:eastAsia="Arial" w:hAnsi="Arial"/>
          <w:sz w:val="17"/>
          <w:szCs w:val="17"/>
          <w:color w:val="auto"/>
        </w:rPr>
      </w:pPr>
    </w:p>
    <w:p>
      <w:pPr>
        <w:ind w:right="20" w:firstLine="980"/>
        <w:spacing w:after="0" w:line="289" w:lineRule="auto"/>
        <w:tabs>
          <w:tab w:leader="none" w:pos="133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Proceeding</w:t>
      </w:r>
      <w:r>
        <w:rPr>
          <w:rFonts w:ascii="Arial" w:cs="Arial" w:eastAsia="Arial" w:hAnsi="Arial"/>
          <w:sz w:val="17"/>
          <w:szCs w:val="17"/>
          <w:color w:val="auto"/>
        </w:rPr>
        <w:t>” shall mean any threatened, pending or completed claim, action, suit, arbitration, alternate dispute resolution process, investigation, administrative hearing, appeal or any other proceeding, whether civil, criminal, administrative, arbitrative or investigative, whether formal or informal, including a proceeding initiated by Indemnitee pursuant to Section 11 of this Agreement to enforce Indemnitee’s rights hereunder.</w:t>
      </w:r>
    </w:p>
    <w:p>
      <w:pPr>
        <w:spacing w:after="0" w:line="157" w:lineRule="exact"/>
        <w:rPr>
          <w:rFonts w:ascii="Arial" w:cs="Arial" w:eastAsia="Arial" w:hAnsi="Arial"/>
          <w:sz w:val="17"/>
          <w:szCs w:val="17"/>
          <w:color w:val="auto"/>
        </w:rPr>
      </w:pPr>
    </w:p>
    <w:p>
      <w:pPr>
        <w:ind w:firstLine="980"/>
        <w:spacing w:after="0" w:line="258" w:lineRule="auto"/>
        <w:tabs>
          <w:tab w:leader="none" w:pos="13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Company owns (either directly or through or together with another Subsidiary of the Company)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83" w:lineRule="exact"/>
        <w:rPr>
          <w:rFonts w:ascii="Arial" w:cs="Arial" w:eastAsia="Arial" w:hAnsi="Arial"/>
          <w:sz w:val="18"/>
          <w:szCs w:val="18"/>
          <w:color w:val="auto"/>
        </w:rPr>
      </w:pPr>
    </w:p>
    <w:p>
      <w:pPr>
        <w:ind w:right="40" w:firstLine="980"/>
        <w:spacing w:after="0" w:line="258" w:lineRule="auto"/>
        <w:tabs>
          <w:tab w:leader="none" w:pos="13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to the fullest extent permissible by applicable law</w:t>
      </w:r>
      <w:r>
        <w:rPr>
          <w:rFonts w:ascii="Arial" w:cs="Arial" w:eastAsia="Arial" w:hAnsi="Arial"/>
          <w:sz w:val="18"/>
          <w:szCs w:val="18"/>
          <w:color w:val="auto"/>
        </w:rPr>
        <w:t>” shall include, but not be limited to: (i) the fullest extent permitted by the provisions of the General Corporation Law of the State of Delaware (the “</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that authorize or contemplate additional or supplementary indemnification by agreement, or the corresponding provisions of any amendment to or replacement of the DGCL or such provisions thereof; and (ii) the fullest extent authorized or permitted by any amendments to or replacements of the DGCL adopted after the date of this Agreement that increase the extent to which a corporation may indemnify its directors and/or officers.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87" w:name="page88"/>
    <w:bookmarkEnd w:id="87"/>
    <w:p>
      <w:pPr>
        <w:ind w:right="120" w:firstLine="656"/>
        <w:spacing w:after="0" w:line="311" w:lineRule="auto"/>
        <w:tabs>
          <w:tab w:leader="none" w:pos="96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Services of Indemnitee</w:t>
      </w:r>
      <w:r>
        <w:rPr>
          <w:rFonts w:ascii="Arial" w:cs="Arial" w:eastAsia="Arial" w:hAnsi="Arial"/>
          <w:sz w:val="16"/>
          <w:szCs w:val="16"/>
          <w:color w:val="auto"/>
        </w:rPr>
        <w:t>. In consideration of the Company’s covenants and commitments hereunder, Indemnitee agrees to serve or continue to serve as a director and/or officer of the Company. However, this Agreement shall not impose any obligation on Indemnitee or the Company to continue Indemnitee’s service to the Company beyond any period otherwise required by law or by other agreements or commitments of the parties, if any.</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Agreement to Indemnify</w:t>
      </w:r>
      <w:r>
        <w:rPr>
          <w:rFonts w:ascii="Arial" w:cs="Arial" w:eastAsia="Arial" w:hAnsi="Arial"/>
          <w:sz w:val="16"/>
          <w:szCs w:val="16"/>
          <w:color w:val="auto"/>
        </w:rPr>
        <w:t>. The Company agrees to hold harmless and indemnify Indemnitee to the fullest extent permissible by applicable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0" w:lineRule="exact"/>
        <w:rPr>
          <w:rFonts w:ascii="Arial" w:cs="Arial" w:eastAsia="Arial" w:hAnsi="Arial"/>
          <w:sz w:val="16"/>
          <w:szCs w:val="16"/>
          <w:color w:val="auto"/>
        </w:rPr>
      </w:pPr>
    </w:p>
    <w:p>
      <w:pPr>
        <w:ind w:right="120" w:firstLine="980"/>
        <w:spacing w:after="0" w:line="259" w:lineRule="auto"/>
        <w:tabs>
          <w:tab w:leader="none" w:pos="135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Subject to the exceptions contained in Section 4(a) below, if Indemnitee was or is a party or is threatened to be made a party to any Proceeding by reason of Indemnitee’s Corporate Status, Indemnitee shall be indemnified by the Company against all Expenses and Liabilities actually and reasonably incurred or paid by Indemnitee in connection with such Proceeding (referred to herein as “</w:t>
      </w:r>
      <w:r>
        <w:rPr>
          <w:rFonts w:ascii="Arial" w:cs="Arial" w:eastAsia="Arial" w:hAnsi="Arial"/>
          <w:sz w:val="18"/>
          <w:szCs w:val="18"/>
          <w:b w:val="1"/>
          <w:bCs w:val="1"/>
          <w:u w:val="single" w:color="auto"/>
          <w:color w:val="auto"/>
        </w:rPr>
        <w:t>Indemnifiable Expenses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Indemnifiable Liabilities</w:t>
      </w:r>
      <w:r>
        <w:rPr>
          <w:rFonts w:ascii="Arial" w:cs="Arial" w:eastAsia="Arial" w:hAnsi="Arial"/>
          <w:sz w:val="18"/>
          <w:szCs w:val="18"/>
          <w:color w:val="auto"/>
        </w:rPr>
        <w:t>,” respectively, and collectively as “</w:t>
      </w:r>
      <w:r>
        <w:rPr>
          <w:rFonts w:ascii="Arial" w:cs="Arial" w:eastAsia="Arial" w:hAnsi="Arial"/>
          <w:sz w:val="18"/>
          <w:szCs w:val="18"/>
          <w:b w:val="1"/>
          <w:bCs w:val="1"/>
          <w:u w:val="single" w:color="auto"/>
          <w:color w:val="auto"/>
        </w:rPr>
        <w:t>Indemnifiable Amounts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0" w:firstLine="980"/>
        <w:spacing w:after="0" w:line="257" w:lineRule="auto"/>
        <w:tabs>
          <w:tab w:leader="none" w:pos="136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Conclusive Presumption Regarding Standard of Care</w:t>
      </w:r>
      <w:r>
        <w:rPr>
          <w:rFonts w:ascii="Arial" w:cs="Arial" w:eastAsia="Arial" w:hAnsi="Arial"/>
          <w:sz w:val="18"/>
          <w:szCs w:val="18"/>
          <w:color w:val="auto"/>
        </w:rPr>
        <w:t>. In making any determination required to be made under Delaware law with respect to entitlement to indemnification hereunder, the person, persons or entity making such determination shall presume that Indemnitee is entitled to indemnification under this Agreement if Indemnitee submitted a request therefor in accordance with Section 5 of this Agreement, and the Company shall have the burden of proof to overcome that presumption in connection with the making by any person, persons or Entity of any determination contrary to that presumption.</w:t>
      </w:r>
    </w:p>
    <w:p>
      <w:pPr>
        <w:spacing w:after="0" w:line="187" w:lineRule="exact"/>
        <w:rPr>
          <w:rFonts w:ascii="Arial" w:cs="Arial" w:eastAsia="Arial" w:hAnsi="Arial"/>
          <w:sz w:val="18"/>
          <w:szCs w:val="18"/>
          <w:color w:val="auto"/>
        </w:rPr>
      </w:pPr>
    </w:p>
    <w:p>
      <w:pPr>
        <w:ind w:right="280" w:firstLine="656"/>
        <w:spacing w:after="0" w:line="263" w:lineRule="auto"/>
        <w:tabs>
          <w:tab w:leader="none" w:pos="96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Exceptions to Indemnification</w:t>
      </w:r>
      <w:r>
        <w:rPr>
          <w:rFonts w:ascii="Arial" w:cs="Arial" w:eastAsia="Arial" w:hAnsi="Arial"/>
          <w:sz w:val="18"/>
          <w:szCs w:val="18"/>
          <w:color w:val="auto"/>
        </w:rPr>
        <w:t>. Subject to Section 20 below, Indemnitee shall be entitled to indemnification under Section 3(a) above in all circumstances and with respect to each and every specific claim, issue or matter involved in the Proceeding out of which Indemnitee’s claim for indemnification has arisen to the fullest extent permissible by applicable law, except as follows:</w:t>
      </w:r>
    </w:p>
    <w:p>
      <w:pPr>
        <w:spacing w:after="0" w:line="183" w:lineRule="exact"/>
        <w:rPr>
          <w:rFonts w:ascii="Arial" w:cs="Arial" w:eastAsia="Arial" w:hAnsi="Arial"/>
          <w:sz w:val="18"/>
          <w:szCs w:val="18"/>
          <w:color w:val="auto"/>
        </w:rPr>
      </w:pPr>
    </w:p>
    <w:p>
      <w:pPr>
        <w:ind w:right="20" w:firstLine="980"/>
        <w:spacing w:after="0" w:line="257" w:lineRule="auto"/>
        <w:tabs>
          <w:tab w:leader="none" w:pos="135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If indemnification is requested under Section 3(a) and it has been finally adjudicated by a court of competent jurisdiction that, in connection with such specific claim, issue or matter, Indemnitee failed to act (i) in good faith and (ii) in a manner Indemnitee reasonably believed to be in or not opposed to the best interests of the Company, or, with respect to any criminal Proceeding, Indemnitee had reasonable cause to believe that Indemnitee’s conduct was unlawful, Indemnitee shall not be entitled to payment of Indemnifiable Amounts hereunder to the extent that they arise out of such claim, issue or matter.</w:t>
      </w:r>
    </w:p>
    <w:p>
      <w:pPr>
        <w:spacing w:after="0" w:line="187" w:lineRule="exact"/>
        <w:rPr>
          <w:rFonts w:ascii="Arial" w:cs="Arial" w:eastAsia="Arial" w:hAnsi="Arial"/>
          <w:sz w:val="18"/>
          <w:szCs w:val="18"/>
          <w:color w:val="auto"/>
        </w:rPr>
      </w:pPr>
    </w:p>
    <w:p>
      <w:pPr>
        <w:ind w:firstLine="980"/>
        <w:spacing w:after="0" w:line="259" w:lineRule="auto"/>
        <w:tabs>
          <w:tab w:leader="none" w:pos="136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Insurance Proceeds</w:t>
      </w:r>
      <w:r>
        <w:rPr>
          <w:rFonts w:ascii="Arial" w:cs="Arial" w:eastAsia="Arial" w:hAnsi="Arial"/>
          <w:sz w:val="18"/>
          <w:szCs w:val="18"/>
          <w:color w:val="auto"/>
        </w:rPr>
        <w:t>. To the extent payment is actually made to the Indemnitee under a valid and collectible insurance policy maintained at the expense of the Company in respect of Indemnifiable Amounts in connection with such specific claim, issue or matter, Indemnitee shall not be entitled to payment of Indemnifiable Amounts hereunder except in respect of any excess of such Indemnifiable Amounts beyond the amount of payment under such insurance.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left="-60" w:right="120" w:firstLine="656"/>
        <w:spacing w:after="0" w:line="257" w:lineRule="auto"/>
        <w:tabs>
          <w:tab w:leader="none" w:pos="90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Procedure for Payment of Indemnifiable Amounts</w:t>
      </w:r>
      <w:r>
        <w:rPr>
          <w:rFonts w:ascii="Arial" w:cs="Arial" w:eastAsia="Arial" w:hAnsi="Arial"/>
          <w:sz w:val="18"/>
          <w:szCs w:val="18"/>
          <w:color w:val="auto"/>
        </w:rPr>
        <w:t>. Indemnitee shall submit to the Company a written request specifying the Indemnifiable Amounts for which Indemnitee seeks payment under Section 3 of this Agreement and the basis for the claim. The Company shall pay such Indemnifiable Amounts to Indemnitee promptly, but in no event later than thirty (30) calendar days after receipt of such request. At the request of the Company, Indemnitee shall furnish such documentation and information as are reasonably available to Indemnitee and necessary to establish that Indemnitee is entitled to indemnification hereunder.</w:t>
      </w:r>
    </w:p>
    <w:p>
      <w:pPr>
        <w:spacing w:after="0" w:line="187" w:lineRule="exact"/>
        <w:rPr>
          <w:rFonts w:ascii="Arial" w:cs="Arial" w:eastAsia="Arial" w:hAnsi="Arial"/>
          <w:sz w:val="18"/>
          <w:szCs w:val="18"/>
          <w:color w:val="auto"/>
        </w:rPr>
      </w:pPr>
    </w:p>
    <w:p>
      <w:pPr>
        <w:ind w:left="-60" w:right="40" w:firstLine="656"/>
        <w:spacing w:after="0" w:line="270" w:lineRule="auto"/>
        <w:tabs>
          <w:tab w:leader="none" w:pos="903"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and without limiting any such provision, to the extent that Indemnitee is, by reason of Indemnitee’s Corporate Status, a party to and is successful, on the merits or otherwise, in any Proceeding, Indemnitee shall be indemnified to the fullest extent permissible by applicable law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to the fullest extent permissible by applicable law Indemnitee against all Expenses actually and reasonably incurred by Indemnitee or on Indemnitee’s behalf in connection with each successfully resolved claim, issue or matter. For purposes of this Agreement, the termination of any claim, issue or matter in such a Proceeding by dismissal, with or without prejudice, by reason of settlement, judgment, order or otherwise, shall be deemed to be a successful result as to such claim, issue or matter.</w:t>
      </w:r>
    </w:p>
    <w:p>
      <w:pPr>
        <w:spacing w:after="0" w:line="180" w:lineRule="exact"/>
        <w:rPr>
          <w:rFonts w:ascii="Arial" w:cs="Arial" w:eastAsia="Arial" w:hAnsi="Arial"/>
          <w:sz w:val="17"/>
          <w:szCs w:val="17"/>
          <w:color w:val="auto"/>
        </w:rPr>
      </w:pPr>
    </w:p>
    <w:p>
      <w:pPr>
        <w:ind w:left="-60" w:firstLine="656"/>
        <w:spacing w:after="0" w:line="296" w:lineRule="auto"/>
        <w:tabs>
          <w:tab w:leader="none" w:pos="90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Effect of Certain Resolutions</w:t>
      </w:r>
      <w:r>
        <w:rPr>
          <w:rFonts w:ascii="Arial" w:cs="Arial" w:eastAsia="Arial" w:hAnsi="Arial"/>
          <w:sz w:val="16"/>
          <w:szCs w:val="16"/>
          <w:color w:val="auto"/>
        </w:rPr>
        <w:t>. Neither the settlement nor termination of any Proceeding nor the failure of the Company to award indemnification or to determine that indemnification is payable shall create a presumption that Indemnitee is not entitled to indemnification hereunder. In addition, the termination of any Proceeding by judgment, order, settlement, conviction or upon a plea of nolo contendere or its equivalent shall not create a presumption that Indemnitee did not act in good faith and in a manner which Indemnitee reasonably believed to be in or not opposed to the best interests of the Company or, with respect to any criminal Proceeding, had reasonable cause to believe that Indemnitee’s action was unlawful.</w:t>
      </w:r>
    </w:p>
    <w:p>
      <w:pPr>
        <w:spacing w:after="0" w:line="161" w:lineRule="exact"/>
        <w:rPr>
          <w:rFonts w:ascii="Arial" w:cs="Arial" w:eastAsia="Arial" w:hAnsi="Arial"/>
          <w:sz w:val="16"/>
          <w:szCs w:val="16"/>
          <w:color w:val="auto"/>
        </w:rPr>
      </w:pPr>
    </w:p>
    <w:p>
      <w:pPr>
        <w:ind w:left="-60" w:right="120" w:firstLine="656"/>
        <w:spacing w:after="0" w:line="290" w:lineRule="auto"/>
        <w:tabs>
          <w:tab w:leader="none" w:pos="90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Agreement to Advance Expenses; Undertaking</w:t>
      </w:r>
      <w:r>
        <w:rPr>
          <w:rFonts w:ascii="Arial" w:cs="Arial" w:eastAsia="Arial" w:hAnsi="Arial"/>
          <w:sz w:val="16"/>
          <w:szCs w:val="16"/>
          <w:color w:val="auto"/>
        </w:rPr>
        <w:t>. The Company shall advance to the fullest extent permissible by applicable law all Expenses actually and reasonably incurred by or on behalf of Indemnitee in connection with any Proceeding in which Indemnitee is involved by reason of such Indemnitee’s Corporate Status within thirty (30) calendar days after the receipt by the Company of a written statement from Indemnitee requesting such advance or advances from time to time, whether prior to or after final disposition of such Proceeding. Advances shall be unsecured and interest free. Advances shall be made without regard to Indemnitee’s ability to repay the expenses and without regard to Indemnitee’s ultimate entitlement to indemnification under the other provisions of this Agreement. To the extent required by Delaware law, Indemnitee hereby undertakes to repay any and all of the amount of Indemnifiable Expenses paid to Indemnitee if it is finally determined by a court of competent jurisdiction that Indemnitee is not entitled under this Agreement to indemnification with respect to such Expenses. This undertaking is an unlimited general obligation of Indemnitee.</w:t>
      </w:r>
    </w:p>
    <w:p>
      <w:pPr>
        <w:spacing w:after="0" w:line="165" w:lineRule="exact"/>
        <w:rPr>
          <w:rFonts w:ascii="Arial" w:cs="Arial" w:eastAsia="Arial" w:hAnsi="Arial"/>
          <w:sz w:val="16"/>
          <w:szCs w:val="16"/>
          <w:color w:val="auto"/>
        </w:rPr>
      </w:pPr>
    </w:p>
    <w:p>
      <w:pPr>
        <w:ind w:left="-60" w:right="280" w:firstLine="656"/>
        <w:spacing w:after="0" w:line="263" w:lineRule="auto"/>
        <w:tabs>
          <w:tab w:leader="none" w:pos="90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Procedure for Advance Payment of Expenses</w:t>
      </w:r>
      <w:r>
        <w:rPr>
          <w:rFonts w:ascii="Arial" w:cs="Arial" w:eastAsia="Arial" w:hAnsi="Arial"/>
          <w:sz w:val="18"/>
          <w:szCs w:val="18"/>
          <w:color w:val="auto"/>
        </w:rPr>
        <w:t>. Indemnitee shall submit to the Company a written request specifying the Indemnifiable Expenses for which Indemnitee seeks an advancement under Section 8 of this Agreement, together with documentation evidencing that Indemnitee has incurred such Indemnifiable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584" w:right="399" w:bottom="1440" w:gutter="0" w:footer="0" w:header="0"/>
        </w:sectPr>
      </w:pPr>
    </w:p>
    <w:bookmarkStart w:id="89" w:name="page90"/>
    <w:bookmarkEnd w:id="89"/>
    <w:p>
      <w:pPr>
        <w:ind w:left="-80" w:right="260" w:firstLine="656"/>
        <w:spacing w:after="0" w:line="311" w:lineRule="auto"/>
        <w:tabs>
          <w:tab w:leader="none" w:pos="97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Notwithstanding any other provision of this Agreement, to the extent that Indemnitee is, by reason of his or her Corporate Status, a witness in any Proceeding to which Indemnitee is not a party, he or she shall be indemnified to the fullest extent permissible by applicable law against all Expenses actually and reasonably incurred by him or her or on his or her behalf in connection therewith.</w:t>
      </w:r>
    </w:p>
    <w:p>
      <w:pPr>
        <w:spacing w:after="0" w:line="148" w:lineRule="exact"/>
        <w:rPr>
          <w:rFonts w:ascii="Arial" w:cs="Arial" w:eastAsia="Arial" w:hAnsi="Arial"/>
          <w:sz w:val="16"/>
          <w:szCs w:val="16"/>
          <w:color w:val="auto"/>
        </w:rPr>
      </w:pPr>
    </w:p>
    <w:p>
      <w:pPr>
        <w:ind w:left="980" w:hanging="40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160" w:firstLine="1142"/>
        <w:spacing w:after="0" w:line="259" w:lineRule="auto"/>
        <w:tabs>
          <w:tab w:leader="none" w:pos="143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Right to Petition Court</w:t>
      </w:r>
      <w:r>
        <w:rPr>
          <w:rFonts w:ascii="Arial" w:cs="Arial" w:eastAsia="Arial" w:hAnsi="Arial"/>
          <w:sz w:val="18"/>
          <w:szCs w:val="18"/>
          <w:color w:val="auto"/>
        </w:rPr>
        <w:t>. In the event that Indemnitee makes a request for payment of Indemnifiable Amounts under Sections 3 and 5 above or a request for an advancement of Indemnifiable Expenses under Sections 8 and 9 above and the Company fails to make such payment or advancement in a timely manner pursuant to the terms of this Agreement, Indemnitee may petition the Court of Chancery of the State of Delaware to enforce the Company’s obligations under this Agreement.</w:t>
      </w:r>
    </w:p>
    <w:p>
      <w:pPr>
        <w:spacing w:after="0" w:line="186" w:lineRule="exact"/>
        <w:rPr>
          <w:rFonts w:ascii="Arial" w:cs="Arial" w:eastAsia="Arial" w:hAnsi="Arial"/>
          <w:sz w:val="18"/>
          <w:szCs w:val="18"/>
          <w:color w:val="auto"/>
        </w:rPr>
      </w:pPr>
    </w:p>
    <w:p>
      <w:pPr>
        <w:ind w:left="-80" w:right="220" w:firstLine="1142"/>
        <w:spacing w:after="0" w:line="277" w:lineRule="auto"/>
        <w:tabs>
          <w:tab w:leader="none" w:pos="144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any judicial proceeding brought under Section 11(a) above, the Company shall have the burden of proving that Indemnitee is not entitled to payment of Indemnifiable Amounts hereunder.</w:t>
      </w:r>
    </w:p>
    <w:p>
      <w:pPr>
        <w:spacing w:after="0" w:line="170" w:lineRule="exact"/>
        <w:rPr>
          <w:rFonts w:ascii="Arial" w:cs="Arial" w:eastAsia="Arial" w:hAnsi="Arial"/>
          <w:sz w:val="18"/>
          <w:szCs w:val="18"/>
          <w:color w:val="auto"/>
        </w:rPr>
      </w:pPr>
    </w:p>
    <w:p>
      <w:pPr>
        <w:ind w:left="-80" w:firstLine="1142"/>
        <w:spacing w:after="0" w:line="257" w:lineRule="auto"/>
        <w:tabs>
          <w:tab w:leader="none" w:pos="143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agrees to reimburse Indemnitee in full for any Expenses in connection with any Proceeding incurred by Indemnitee in connection with investigating, preparing for, litigating, defending or settling any action brought by Indemnitee under Section 11(a) above, or in connection with any claim or counterclaim brought by the Company in connection therewith, whether or not Indemnitee is successful in whole or in part in connection with any such action, except to the extent that it has been finally adjudicated by a court of competent jurisdiction that such reimbursement would be unlawful.</w:t>
      </w:r>
    </w:p>
    <w:p>
      <w:pPr>
        <w:spacing w:after="0" w:line="187" w:lineRule="exact"/>
        <w:rPr>
          <w:rFonts w:ascii="Arial" w:cs="Arial" w:eastAsia="Arial" w:hAnsi="Arial"/>
          <w:sz w:val="18"/>
          <w:szCs w:val="18"/>
          <w:color w:val="auto"/>
        </w:rPr>
      </w:pPr>
    </w:p>
    <w:p>
      <w:pPr>
        <w:ind w:left="-80" w:right="180" w:firstLine="1142"/>
        <w:spacing w:after="0" w:line="259" w:lineRule="auto"/>
        <w:tabs>
          <w:tab w:leader="none" w:pos="144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Failure to Act Not a Defense</w:t>
      </w:r>
      <w:r>
        <w:rPr>
          <w:rFonts w:ascii="Arial" w:cs="Arial" w:eastAsia="Arial" w:hAnsi="Arial"/>
          <w:sz w:val="18"/>
          <w:szCs w:val="18"/>
          <w:color w:val="auto"/>
        </w:rPr>
        <w:t>. The failure of the Company (including its Board of Directors or any committee thereof, independent legal counsel or stockholders) to make a determination concerning the permissibility of the payment of Indemnifiable Amounts or the advancement of Indemnifiable Expenses under this Agreement shall not be a defense in any action brought under Section 11(a) above, and shall not create a presumption that such payment or advancement is not permissible.</w:t>
      </w:r>
    </w:p>
    <w:p>
      <w:pPr>
        <w:spacing w:after="0" w:line="186" w:lineRule="exact"/>
        <w:rPr>
          <w:rFonts w:ascii="Arial" w:cs="Arial" w:eastAsia="Arial" w:hAnsi="Arial"/>
          <w:sz w:val="18"/>
          <w:szCs w:val="18"/>
          <w:color w:val="auto"/>
        </w:rPr>
      </w:pPr>
    </w:p>
    <w:p>
      <w:pPr>
        <w:ind w:left="980" w:hanging="40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Defense of the Underlying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100" w:firstLine="1142"/>
        <w:spacing w:after="0" w:line="296" w:lineRule="auto"/>
        <w:tabs>
          <w:tab w:leader="none" w:pos="1433"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Notice by Indemnitee</w:t>
      </w:r>
      <w:r>
        <w:rPr>
          <w:rFonts w:ascii="Arial" w:cs="Arial" w:eastAsia="Arial" w:hAnsi="Arial"/>
          <w:sz w:val="16"/>
          <w:szCs w:val="16"/>
          <w:color w:val="auto"/>
        </w:rPr>
        <w:t>. Indemnitee agrees to notify the Company promptly upon being served with any summons, citation, subpoena, complaint, indictment, information or other document relating to any Proceeding which may result in the payment of Indemnifiable Amounts or the advancement of Indemnifiable Expenses hereunder; provided, however, that the failure to give any such notice shall not disqualify Indemnitee from the right, or otherwise affect in any manner any right of Indemnitee, to receive payments of Indemnifiable Amounts or advancements of Indemnifiable Expenses unless the Company’s ability to defend in such Proceeding is materially and adversely prejudiced thereby.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584" w:right="399" w:bottom="1440" w:gutter="0" w:footer="0" w:header="0"/>
        </w:sectPr>
      </w:pPr>
    </w:p>
    <w:bookmarkStart w:id="90" w:name="page91"/>
    <w:bookmarkEnd w:id="90"/>
    <w:p>
      <w:pPr>
        <w:ind w:left="-20" w:right="100" w:firstLine="1142"/>
        <w:spacing w:after="0" w:line="254" w:lineRule="auto"/>
        <w:tabs>
          <w:tab w:leader="none" w:pos="150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Defense by Company</w:t>
      </w:r>
      <w:r>
        <w:rPr>
          <w:rFonts w:ascii="Arial" w:cs="Arial" w:eastAsia="Arial" w:hAnsi="Arial"/>
          <w:sz w:val="18"/>
          <w:szCs w:val="18"/>
          <w:color w:val="auto"/>
        </w:rPr>
        <w:t>. Subject to the provisions of the last sentence of this Section 12(b) and of Section 12(c) below, the Company shall have the right to defend Indemnitee in any Proceeding which may give rise to the payment of Indemnifiable Amounts hereunder; provided, however, that the Company shall notify Indemnitee of any such decision to defend within ten (10) calendar days of the Company’s receipt of notice of any such Proceeding under Section 12(a) above. The Company shall not, without the prior written consent of Indemnitee, consent to the entry of any judgment against Indemnitee or enter into any settlement or compromise which (i) includes an admission of fault of Indemnitee or (ii) does not include, as an unconditional term thereof, the full release of Indemnitee from all liability in respect of such Proceeding, which release shall be in form and substance reasonably satisfactory to Indemnitee. This Section 12(b) shall not apply to a Proceeding brought by Indemnitee under Section 11(a) above or pursuant to Section 20 below.</w:t>
      </w:r>
    </w:p>
    <w:p>
      <w:pPr>
        <w:spacing w:after="0" w:line="191" w:lineRule="exact"/>
        <w:rPr>
          <w:rFonts w:ascii="Arial" w:cs="Arial" w:eastAsia="Arial" w:hAnsi="Arial"/>
          <w:sz w:val="18"/>
          <w:szCs w:val="18"/>
          <w:color w:val="auto"/>
        </w:rPr>
      </w:pPr>
    </w:p>
    <w:p>
      <w:pPr>
        <w:ind w:left="-20" w:firstLine="1142"/>
        <w:spacing w:after="0" w:line="259" w:lineRule="auto"/>
        <w:tabs>
          <w:tab w:leader="none" w:pos="1493"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Indemnitee’s Right to Counsel</w:t>
      </w:r>
      <w:r>
        <w:rPr>
          <w:rFonts w:ascii="Arial" w:cs="Arial" w:eastAsia="Arial" w:hAnsi="Arial"/>
          <w:sz w:val="18"/>
          <w:szCs w:val="18"/>
          <w:color w:val="auto"/>
        </w:rPr>
        <w:t>. Notwithstanding the provisions of Section 12(b) above, in any Proceeding to which Indemnitee is a party by reason of Indemnitee’s Corporate Status, at the Indemnittee’s option Indemnitee shall have the right to retain counsel of Indemnitee’s choice, at the expense of the Company, to represent Indemnitee in connection with any such matter and the Expenses incurred by Indemnitee in any such matter shall constitute Indemnifiable Expenses.</w:t>
      </w:r>
    </w:p>
    <w:p>
      <w:pPr>
        <w:spacing w:after="0" w:line="186" w:lineRule="exact"/>
        <w:rPr>
          <w:rFonts w:ascii="Arial" w:cs="Arial" w:eastAsia="Arial" w:hAnsi="Arial"/>
          <w:sz w:val="18"/>
          <w:szCs w:val="18"/>
          <w:color w:val="auto"/>
        </w:rPr>
      </w:pPr>
    </w:p>
    <w:p>
      <w:pPr>
        <w:ind w:left="1040" w:hanging="404"/>
        <w:spacing w:after="0"/>
        <w:tabs>
          <w:tab w:leader="none" w:pos="10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Indemnitee as follows:</w:t>
      </w:r>
    </w:p>
    <w:p>
      <w:pPr>
        <w:spacing w:after="0" w:line="225" w:lineRule="exact"/>
        <w:rPr>
          <w:rFonts w:ascii="Arial" w:cs="Arial" w:eastAsia="Arial" w:hAnsi="Arial"/>
          <w:sz w:val="18"/>
          <w:szCs w:val="18"/>
          <w:color w:val="auto"/>
        </w:rPr>
      </w:pPr>
    </w:p>
    <w:p>
      <w:pPr>
        <w:ind w:left="-20" w:right="240" w:firstLine="1142"/>
        <w:spacing w:after="0" w:line="308" w:lineRule="auto"/>
        <w:tabs>
          <w:tab w:leader="none" w:pos="1493"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xml:space="preserve"> The Company has all necessary power and authority to enter into, and be bound by the terms of, this Agreement, and the execution, delivery and performance of the undertakings contemplated by this Agreement have been duly authorized by the Company.</w:t>
      </w:r>
    </w:p>
    <w:p>
      <w:pPr>
        <w:spacing w:after="0" w:line="146" w:lineRule="exact"/>
        <w:rPr>
          <w:rFonts w:ascii="Arial" w:cs="Arial" w:eastAsia="Arial" w:hAnsi="Arial"/>
          <w:sz w:val="17"/>
          <w:szCs w:val="17"/>
          <w:color w:val="auto"/>
        </w:rPr>
      </w:pPr>
    </w:p>
    <w:p>
      <w:pPr>
        <w:jc w:val="both"/>
        <w:ind w:left="-20" w:right="240" w:firstLine="1142"/>
        <w:spacing w:after="0" w:line="311" w:lineRule="auto"/>
        <w:tabs>
          <w:tab w:leader="none" w:pos="1504"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xml:space="preserve"> This Agreement, when executed and delivered by the Company in accordance with the provisions hereof, shall be a legal, valid and binding obligation of the Company, enforceable against the Company in accordance with its terms, except as such enforceability may be limited by applicable bankruptcy, insolvency, moratorium, reorganization or similar laws affecting the enforcement of creditors’ rights generally.</w:t>
      </w:r>
    </w:p>
    <w:p>
      <w:pPr>
        <w:spacing w:after="0" w:line="148" w:lineRule="exact"/>
        <w:rPr>
          <w:rFonts w:ascii="Arial" w:cs="Arial" w:eastAsia="Arial" w:hAnsi="Arial"/>
          <w:sz w:val="16"/>
          <w:szCs w:val="16"/>
          <w:color w:val="auto"/>
        </w:rPr>
      </w:pPr>
    </w:p>
    <w:p>
      <w:pPr>
        <w:ind w:left="-20" w:right="20" w:firstLine="656"/>
        <w:spacing w:after="0" w:line="269" w:lineRule="auto"/>
        <w:tabs>
          <w:tab w:leader="none" w:pos="1033"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from time to time, make the good faith determination whether or not it is practicable for the Company to obtain and maintain a policy or policies of insurance with a reputable insurance company providing the Indemnitee with coverage for losses from wrongful acts. For so long as Indemnitee shall have Corporate Status, Indemnitee shall be named as an insured in all policies of director and officer liability insurance in such a manner as to provide Indemnitee the same rights and benefits as are accorded to the most favorably insured of the Company’s officers and directors. If, at the time of the receipt of a notice of a claim pursuant to the terms of this Agreement,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or if the coverage provided by such insurance is limited by exclusions so as to provide an insufficient benefit.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91" w:name="page92"/>
    <w:bookmarkEnd w:id="91"/>
    <w:p>
      <w:pPr>
        <w:ind w:left="-40" w:right="20" w:firstLine="656"/>
        <w:spacing w:after="0" w:line="257" w:lineRule="auto"/>
        <w:tabs>
          <w:tab w:leader="none" w:pos="101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actually received payment under any insurance policy, provision of the Certificate or the Bylaws or otherwise of the amounts otherwise indemnifiable hereunder. The Company’s obligation to indemnify or advance Expenses hereunder to Indemnitee as a result of the Indemnitee’s Corporate Status with an Entity other than the Company shall be reduced by any amount Indemnitee has actually received as indemnification or advancement of Expenses from such other Entity.</w:t>
      </w:r>
    </w:p>
    <w:p>
      <w:pPr>
        <w:spacing w:after="0" w:line="187" w:lineRule="exact"/>
        <w:rPr>
          <w:rFonts w:ascii="Arial" w:cs="Arial" w:eastAsia="Arial" w:hAnsi="Arial"/>
          <w:sz w:val="18"/>
          <w:szCs w:val="18"/>
          <w:color w:val="auto"/>
        </w:rPr>
      </w:pPr>
    </w:p>
    <w:p>
      <w:pPr>
        <w:ind w:left="-40" w:firstLine="656"/>
        <w:spacing w:after="0" w:line="279" w:lineRule="auto"/>
        <w:tabs>
          <w:tab w:leader="none" w:pos="101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Contract Rights Not Exclusive</w:t>
      </w:r>
      <w:r>
        <w:rPr>
          <w:rFonts w:ascii="Arial" w:cs="Arial" w:eastAsia="Arial" w:hAnsi="Arial"/>
          <w:sz w:val="17"/>
          <w:szCs w:val="17"/>
          <w:color w:val="auto"/>
        </w:rPr>
        <w:t>. The rights to payment of Indemnifiable Amounts and advancement of Indemnifiable Expenses provided by this Agreement shall be in addition to, but not exclusive of, any other rights which Indemnitee may have at any time under applicable law, the Certificate or Bylaws, or any other agreement, vote of stockholders or directors (or a committee of directors) or otherwise, both as to action in Indemnitee’s official capacity and as to action in any other capacity as a result of Indemnitee’s serving as a director of the Company.</w:t>
      </w:r>
    </w:p>
    <w:p>
      <w:pPr>
        <w:spacing w:after="0" w:line="171" w:lineRule="exact"/>
        <w:rPr>
          <w:rFonts w:ascii="Arial" w:cs="Arial" w:eastAsia="Arial" w:hAnsi="Arial"/>
          <w:sz w:val="17"/>
          <w:szCs w:val="17"/>
          <w:color w:val="auto"/>
        </w:rPr>
      </w:pPr>
    </w:p>
    <w:p>
      <w:pPr>
        <w:ind w:left="-40" w:right="160" w:firstLine="656"/>
        <w:spacing w:after="0" w:line="257" w:lineRule="auto"/>
        <w:tabs>
          <w:tab w:leader="none" w:pos="101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(a) binding upon all successors and assigns of the Company (including any transferee of all or a substantial portion of the business, stock and/or assets of the Company and any direct or indirect successor by merger or consolidation or otherwise by operation of law) and (b) binding on and shall inure to the benefit of the heirs, personal representatives, executors and administrators of Indemnitee. This Agreement shall continue for the benefit of Indemnitee and such heirs, personal representatives, executors and administrators after Indemnitee has ceased to have Corporate Status.</w:t>
      </w:r>
    </w:p>
    <w:p>
      <w:pPr>
        <w:spacing w:after="0" w:line="187" w:lineRule="exact"/>
        <w:rPr>
          <w:rFonts w:ascii="Arial" w:cs="Arial" w:eastAsia="Arial" w:hAnsi="Arial"/>
          <w:sz w:val="18"/>
          <w:szCs w:val="18"/>
          <w:color w:val="auto"/>
        </w:rPr>
      </w:pPr>
    </w:p>
    <w:p>
      <w:pPr>
        <w:ind w:left="-40" w:right="140" w:firstLine="656"/>
        <w:spacing w:after="0" w:line="286" w:lineRule="auto"/>
        <w:tabs>
          <w:tab w:leader="none" w:pos="101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Change in Law</w:t>
      </w:r>
      <w:r>
        <w:rPr>
          <w:rFonts w:ascii="Arial" w:cs="Arial" w:eastAsia="Arial" w:hAnsi="Arial"/>
          <w:sz w:val="17"/>
          <w:szCs w:val="17"/>
          <w:color w:val="auto"/>
        </w:rPr>
        <w:t>. To the extent that a change in Delaware law (whether by statute or judicial decision) or the Certificate shall permit broader indemnification or advancement of expenses than is provided under the terms of the Bylaws and this Agreement, Indemnitee shall be entitled to such broader indemnification and advancements, and this Agreement shall be deemed to be amended to such extent.</w:t>
      </w:r>
    </w:p>
    <w:p>
      <w:pPr>
        <w:spacing w:after="0" w:line="165" w:lineRule="exact"/>
        <w:rPr>
          <w:rFonts w:ascii="Arial" w:cs="Arial" w:eastAsia="Arial" w:hAnsi="Arial"/>
          <w:sz w:val="17"/>
          <w:szCs w:val="17"/>
          <w:color w:val="auto"/>
        </w:rPr>
      </w:pPr>
    </w:p>
    <w:p>
      <w:pPr>
        <w:ind w:left="-40" w:right="40" w:firstLine="656"/>
        <w:spacing w:after="0" w:line="257" w:lineRule="auto"/>
        <w:tabs>
          <w:tab w:leader="none" w:pos="101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a manner as to be effective and valid under applicable law, but if any provision of this Agreement, or any clause thereof, shall be determined by a court of competent jurisdiction to be illegal, invalid or unenforceable, in whole or in part, such provision or clause shall be limited or modified in its application to the minimum extent necessary to make such provision or clause valid, legal and enforceable, and the remaining provisions and clauses of this Agreement shall remain fully enforceable and binding on the parties.</w:t>
      </w:r>
    </w:p>
    <w:p>
      <w:pPr>
        <w:spacing w:after="0" w:line="187" w:lineRule="exact"/>
        <w:rPr>
          <w:rFonts w:ascii="Arial" w:cs="Arial" w:eastAsia="Arial" w:hAnsi="Arial"/>
          <w:sz w:val="18"/>
          <w:szCs w:val="18"/>
          <w:color w:val="auto"/>
        </w:rPr>
      </w:pPr>
    </w:p>
    <w:p>
      <w:pPr>
        <w:ind w:left="-40" w:right="80" w:firstLine="656"/>
        <w:spacing w:after="0" w:line="296" w:lineRule="auto"/>
        <w:tabs>
          <w:tab w:leader="none" w:pos="101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Indemnitee as Plaintiff</w:t>
      </w:r>
      <w:r>
        <w:rPr>
          <w:rFonts w:ascii="Arial" w:cs="Arial" w:eastAsia="Arial" w:hAnsi="Arial"/>
          <w:sz w:val="16"/>
          <w:szCs w:val="16"/>
          <w:color w:val="auto"/>
        </w:rPr>
        <w:t>. Except as provided in Section 11(c) of this Agreement and in the next sentence, Indemnitee shall not be entitled to payment of Indemnifiable Amounts or advancement of Indemnifiable Expenses with respect to any Proceeding brought by Indemnitee against the Company, any Subsidiary, any Entity which it controls, any director or officer thereof or any third party, unless the Board of Directors has consented to the initiation of such Proceeding or the Company provides indemnification, in its sole discretion, pursuant to the powers vested in the Company under applicable law. This Section shall not apply to counterclaims or affirmative defenses asserted by Indemnitee in an action brought against Indemnitee.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92" w:name="page93"/>
    <w:bookmarkEnd w:id="92"/>
    <w:p>
      <w:pPr>
        <w:ind w:right="20" w:firstLine="656"/>
        <w:spacing w:after="0" w:line="255" w:lineRule="auto"/>
        <w:tabs>
          <w:tab w:leader="none" w:pos="105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Modifications and Waivers; Counterparts</w:t>
      </w:r>
      <w:r>
        <w:rPr>
          <w:rFonts w:ascii="Arial" w:cs="Arial" w:eastAsia="Arial" w:hAnsi="Arial"/>
          <w:sz w:val="18"/>
          <w:szCs w:val="18"/>
          <w:color w:val="auto"/>
        </w:rPr>
        <w:t>. Except as provided in Section 18 above with respect to changes in Delaware law which broaden the right of Indemnitee to be indemnified by the Company or to receive advancements, no supplement, modification or amendment of this Agreement shall be binding unless executed in writing by each of the parties hereto. No waiver of any of the provisions of this Agreement shall be deemed or shall constitute a waiver of any other provisions of this Agreement (whether or not similar), nor shall such waiver constitute a continuing waiver. This Agreement may also be executed and delivered by facsimile signature and in two or more counterparts, each of which shall be deemed an original, but all of which together shall constitute one and the same Agreement.</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General Notices</w:t>
      </w:r>
      <w:r>
        <w:rPr>
          <w:rFonts w:ascii="Arial" w:cs="Arial" w:eastAsia="Arial" w:hAnsi="Arial"/>
          <w:sz w:val="18"/>
          <w:szCs w:val="18"/>
          <w:color w:val="auto"/>
        </w:rPr>
        <w:t>. All notices, requests, demands and other communications hereunder shall be in writing and shall be deemed to have been duly given (a) when delivered by hand, (b) when transmitted by facsimile and receipt is acknowledged during normal business hours, and if not, the next business day after transmission or (c) if mailed by certified or registered mail with postage prepaid, on the third business day after the date on which it is so mailed:</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to Indemnitee,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960" w:hanging="656"/>
        <w:spacing w:after="0"/>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CervoMed Inc.</w:t>
      </w:r>
    </w:p>
    <w:p>
      <w:pPr>
        <w:spacing w:after="0" w:line="23" w:lineRule="exact"/>
        <w:rPr>
          <w:rFonts w:ascii="Arial" w:cs="Arial" w:eastAsia="Arial" w:hAnsi="Arial"/>
          <w:sz w:val="18"/>
          <w:szCs w:val="18"/>
          <w:color w:val="auto"/>
        </w:rPr>
      </w:pPr>
    </w:p>
    <w:p>
      <w:pPr>
        <w:ind w:left="1960" w:right="7480"/>
        <w:spacing w:after="0" w:line="265" w:lineRule="auto"/>
        <w:rPr>
          <w:rFonts w:ascii="Arial" w:cs="Arial" w:eastAsia="Arial" w:hAnsi="Arial"/>
          <w:sz w:val="18"/>
          <w:szCs w:val="18"/>
          <w:color w:val="auto"/>
        </w:rPr>
      </w:pPr>
      <w:r>
        <w:rPr>
          <w:rFonts w:ascii="Arial" w:cs="Arial" w:eastAsia="Arial" w:hAnsi="Arial"/>
          <w:sz w:val="17"/>
          <w:szCs w:val="17"/>
          <w:color w:val="auto"/>
        </w:rPr>
        <w:t>20 Park Plaza, Suite 424 Boston, MA 02116</w:t>
      </w:r>
    </w:p>
    <w:p>
      <w:pPr>
        <w:ind w:left="1960"/>
        <w:spacing w:after="0"/>
        <w:rPr>
          <w:rFonts w:ascii="Arial" w:cs="Arial" w:eastAsia="Arial" w:hAnsi="Arial"/>
          <w:sz w:val="18"/>
          <w:szCs w:val="18"/>
          <w:color w:val="auto"/>
        </w:rPr>
      </w:pPr>
      <w:r>
        <w:rPr>
          <w:rFonts w:ascii="Arial" w:cs="Arial" w:eastAsia="Arial" w:hAnsi="Arial"/>
          <w:sz w:val="18"/>
          <w:szCs w:val="18"/>
          <w:color w:val="auto"/>
        </w:rPr>
        <w:t>Attn: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in the same manner by any party to the others.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3" w:name="page94"/>
    <w:bookmarkEnd w:id="93"/>
    <w:p>
      <w:pPr>
        <w:ind w:left="-20" w:firstLine="656"/>
        <w:spacing w:after="0" w:line="286" w:lineRule="auto"/>
        <w:tabs>
          <w:tab w:leader="none" w:pos="103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Service of Process</w:t>
      </w:r>
      <w:r>
        <w:rPr>
          <w:rFonts w:ascii="Arial" w:cs="Arial" w:eastAsia="Arial" w:hAnsi="Arial"/>
          <w:sz w:val="16"/>
          <w:szCs w:val="16"/>
          <w:color w:val="auto"/>
        </w:rPr>
        <w:t>. This Agreement shall be governed by and construed in accordance with the laws of the State of Delaware without regard to its rules of conflict of laws. Each of the Company and Indemnitee hereby irrevocably and unconditionally consents to submit to the exclusive jurisdiction of the Court of Chancery of the State of Delaware and the courts of the United States of America located in the State of Delaware (the “</w:t>
      </w:r>
      <w:r>
        <w:rPr>
          <w:rFonts w:ascii="Arial" w:cs="Arial" w:eastAsia="Arial" w:hAnsi="Arial"/>
          <w:sz w:val="16"/>
          <w:szCs w:val="16"/>
          <w:b w:val="1"/>
          <w:bCs w:val="1"/>
          <w:u w:val="single" w:color="auto"/>
          <w:color w:val="auto"/>
        </w:rPr>
        <w:t>Delaware Courts</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such courts), waives any objection to the laying of venue of any such litigation in the Delaware Courts and agrees not to plead or claim in any Delaware Court that such litigation brought therein has been brought in an inconvenient forum. Each of the parties hereto agrees, (a) to the extent such party is not otherwise subject to service of process in the State of Delaware, to appoint and maintain an agent in the State of Delaware as such party's agent for acceptance of legal process, and (b) that service of process may also be made on such party by prepaid certified mail with a proof of mailing receipt validated by the United States Postal Service constituting evidence of valid service. Service made pursuant to (a) or (b) above shall have the same legal force and effect as if served upon such party personally within the State of Delaware. For purposes of implementing the parties’ agreement to appoint and maintain an agent for service of process in the State of Delaware, each such party does hereby appoint The Corporation Trust Company, Corporation Trust Center, 1209 Orange Street, Wilmington, New Castle County, Delaware 19801, as such agent and each such party hereby agrees to complete all actions necessary for such appointment.</w:t>
      </w:r>
    </w:p>
    <w:p>
      <w:pPr>
        <w:spacing w:after="0" w:line="173" w:lineRule="exact"/>
        <w:rPr>
          <w:rFonts w:ascii="Arial" w:cs="Arial" w:eastAsia="Arial" w:hAnsi="Arial"/>
          <w:sz w:val="16"/>
          <w:szCs w:val="16"/>
          <w:color w:val="auto"/>
        </w:rPr>
      </w:pPr>
    </w:p>
    <w:p>
      <w:pPr>
        <w:ind w:left="-20" w:right="320" w:firstLine="656"/>
        <w:spacing w:after="0" w:line="263" w:lineRule="auto"/>
        <w:tabs>
          <w:tab w:leader="none" w:pos="103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Joinders</w:t>
      </w:r>
      <w:r>
        <w:rPr>
          <w:rFonts w:ascii="Arial" w:cs="Arial" w:eastAsia="Arial" w:hAnsi="Arial"/>
          <w:sz w:val="18"/>
          <w:szCs w:val="18"/>
          <w:color w:val="auto"/>
        </w:rPr>
        <w:t xml:space="preserve">. Subsidiaries of the Company may from time to time join this Agreement by signing a joinder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Company and all Subsidiaries that have joined this Agreement shall be jointly and severally liable for all obligations of the Company under this Agreement.</w:t>
      </w:r>
    </w:p>
    <w:p>
      <w:pPr>
        <w:spacing w:after="0" w:line="183" w:lineRule="exact"/>
        <w:rPr>
          <w:rFonts w:ascii="Arial" w:cs="Arial" w:eastAsia="Arial" w:hAnsi="Arial"/>
          <w:sz w:val="18"/>
          <w:szCs w:val="18"/>
          <w:color w:val="auto"/>
        </w:rPr>
      </w:pPr>
    </w:p>
    <w:p>
      <w:pPr>
        <w:ind w:left="-20" w:right="340" w:firstLine="656"/>
        <w:spacing w:after="0" w:line="277" w:lineRule="auto"/>
        <w:tabs>
          <w:tab w:leader="none" w:pos="103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Except as otherwise set forth herein, neither this Agreement nor any of the rights, interests or obligations hereunder may be assigned by any party hereto, without the prior written consent of all of the other parties hereto.</w:t>
      </w:r>
    </w:p>
    <w:p>
      <w:pPr>
        <w:spacing w:after="0" w:line="170" w:lineRule="exact"/>
        <w:rPr>
          <w:rFonts w:ascii="Arial" w:cs="Arial" w:eastAsia="Arial" w:hAnsi="Arial"/>
          <w:sz w:val="18"/>
          <w:szCs w:val="18"/>
          <w:color w:val="auto"/>
        </w:rPr>
      </w:pPr>
    </w:p>
    <w:p>
      <w:pPr>
        <w:ind w:left="-20" w:right="100" w:firstLine="656"/>
        <w:spacing w:after="0" w:line="263" w:lineRule="auto"/>
        <w:tabs>
          <w:tab w:leader="none" w:pos="103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Without limitation to the Certificate and the Bylaws,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IN WITNESS WHEREOF, the parties hereto have executed this Indemnification Agreement as of the day and year first above written.</w:t>
      </w:r>
    </w:p>
    <w:p>
      <w:pPr>
        <w:sectPr>
          <w:pgSz w:w="11900" w:h="16838" w:orient="portrait"/>
          <w:cols w:equalWidth="0" w:num="1">
            <w:col w:w="9680"/>
          </w:cols>
          <w:pgMar w:left="1120" w:top="827" w:right="1099" w:bottom="1440" w:gutter="0" w:footer="0" w:header="0"/>
        </w:sectPr>
      </w:pPr>
    </w:p>
    <w:p>
      <w:pPr>
        <w:spacing w:after="0" w:line="24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14605</wp:posOffset>
            </wp:positionV>
            <wp:extent cx="24942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14605</wp:posOffset>
            </wp:positionV>
            <wp:extent cx="24942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Fund Indemnification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97790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1120" w:top="827" w:right="1099" w:bottom="1440" w:gutter="0" w:footer="0" w:header="0"/>
          <w:type w:val="continuous"/>
        </w:sectPr>
      </w:pPr>
    </w:p>
    <w:bookmarkStart w:id="95" w:name="page96"/>
    <w:bookmarkEnd w:id="95"/>
    <w:p>
      <w:pPr>
        <w:jc w:val="center"/>
        <w:ind w:right="-37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JOINDERS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join in the obligations of CervoMed Inc. under this Indemnification Agreement as provided in Section 24 above on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 day of ____________, 20[__].</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to Indemnification Agreement</w:t>
      </w:r>
      <w:r>
        <w:rPr>
          <w:rFonts w:ascii="Arial" w:cs="Arial" w:eastAsia="Arial" w:hAnsi="Arial"/>
          <w:sz w:val="18"/>
          <w:szCs w:val="18"/>
          <w:color w:val="auto"/>
        </w:rPr>
        <w:t>]</w:t>
      </w:r>
    </w:p>
    <w:p>
      <w:pPr>
        <w:sectPr>
          <w:pgSz w:w="11900" w:h="16838" w:orient="portrait"/>
          <w:cols w:equalWidth="0" w:num="1">
            <w:col w:w="11020"/>
          </w:cols>
          <w:pgMar w:left="320" w:top="580" w:right="5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were previously principal accountants for CervoMed Inc., formerly known as Diffusion Pharmaceuticals Inc., (the Company) and, under the date of March 24, 2023, we reported on the consolidated financial statements of Diffusion Pharmaceuticals Inc. as of and for the years ended December 31, 2022 and 2021. On August 16, 2023, we were dismissed.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read the Company’s statements included under Item 4.01 of its Form 8-K dated August 15, 2023, and we agree with such statements except we are not in a position to agree or disagree with the Company’s statement that the dismissal of KPMG LLP was approved by the Audit Committee of the board of directors, and we are not in a position to agree or disagree with the Company‘s statements in Item 4.01(b).</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Diffusion Pharmaceuticals Stockholders Approve Merger with EIP Pharma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Approximately 71% of Stockholders Voted in Favor of the Transaction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Diffusion Announces 1-for-1.5 Reverse Stock Split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Merger on Track to Close on August 16, 2023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CHARLOTTESVILLE, VA, August 15, 2023 </w:t>
      </w:r>
      <w:r>
        <w:rPr>
          <w:rFonts w:ascii="Arial" w:cs="Arial" w:eastAsia="Arial" w:hAnsi="Arial"/>
          <w:sz w:val="18"/>
          <w:szCs w:val="18"/>
          <w:color w:val="auto"/>
        </w:rPr>
        <w:t>– Diffusion Pharmaceuticals Inc. (NASDAQ: DFFN) today announced that its stockholders have voted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all proposals at a special meeting of stockholders held earlier today, including the issuance of Diffusion Common Stock in the pending merger with EIP Pharma Inc. (“EIP”), and a reverse stock split of outstanding Diffusion Common Stock (the “Reverse Split”).</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Dr. Robert Cobuzzi, President and Chief Executive Officer of Diffusion, said, “We are pleased with the outcome of today’s special meeting and thank our stockholders for their support of the merger with EIP. The fact that stockholders holding more than 71% of the votes cast voted in favor of the transaction, and 73% of the votes cast voted in favor of the Reverse Split provides further confidence that our thorough strategic process maximizes value for stockholders.”</w:t>
      </w:r>
    </w:p>
    <w:p>
      <w:pPr>
        <w:spacing w:after="0" w:line="18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look forward to completing the merger and realizing our bright future as CervoMed. Looking ahead, we believe our stockholders are positioned to benefit from the upside potential of ownership in the combined company, where the team will be building on the great work the EIP team has done in developing neflamapimod, including yesterday’s announcement that the first patient has been dosed in the RewinD-LB Phase 2b clinical trial of the company’s lead asset, neflamapimod, for the treatment of patients with dementia with Lewy bodies (DLB).”</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special meeting, Diffusion’s board of directors met and voted to implement the lowest Reverse Split ratio, 1-for-1.5, to maintain compliance with the $4 per share minimum bid price requirement for an initial listing on any Nasdaq market tier. As such, pending completion of the merger, the combined company’s common stock is expected to begin trading on a split-adjusted basis when the market opens on August 17, 2023, under the new trading symbol “CRVO.” As a result of the reverse stock split and the merger, the CUSIP number for Diffusion’s common stock will now be 15713L109.</w:t>
      </w:r>
    </w:p>
    <w:p>
      <w:pPr>
        <w:spacing w:after="0" w:line="18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The merger is expected to close after the close of business close on August 16, 2023, subject to customary closing conditions. The final voting results for the company’s special meeting will be disclosed in a Form 8-K filed with the Securities and Exchange Commission (the “SEC”) and will also be available at https:// </w:t>
      </w:r>
      <w:r>
        <w:rPr>
          <w:rFonts w:ascii="Arial" w:cs="Arial" w:eastAsia="Arial" w:hAnsi="Arial"/>
          <w:sz w:val="17"/>
          <w:szCs w:val="17"/>
          <w:u w:val="single" w:color="auto"/>
          <w:color w:val="auto"/>
        </w:rPr>
        <w:t>https://investors.diffusionpharma.com/sec-filings/</w:t>
      </w:r>
      <w:r>
        <w:rPr>
          <w:rFonts w:ascii="Arial" w:cs="Arial" w:eastAsia="Arial" w:hAnsi="Arial"/>
          <w:sz w:val="17"/>
          <w:szCs w:val="17"/>
          <w:color w:val="auto"/>
        </w:rPr>
        <w:t>, after certification by the company’s inspector of elections.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is serving as financial advisor to Diffusion, and Dechert LLP is serving as legal counsel to Diffusion.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About Diffusion Pharmaceuticals Inc.</w:t>
      </w:r>
    </w:p>
    <w:p>
      <w:pPr>
        <w:spacing w:after="0" w:line="2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Diffusion Pharmaceuticals Inc. is a biopharmaceutical company that has historically focused on developing novel therapies that may enhance the body’s ability to deliver oxygen to areas where it is needed most. Diffusion’s most advanced product candidate, trans sodium crocetinate (TSC), has been investigated and developed to enhance the diffusion of oxygen to tissues with low oxygen levels, also known as hypoxia, most recently as an adjuvant treatment to standard of care therapy for GBM and other hypoxic solid tumors. In connection with the proposed merger with EIP, and pending its conclusion, Diffusion previously paused the initiation of the previously announced Phase 2 study of TSC in newly diagnosed GBM patients and will continue to attempt to identify sale or out-licensing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www.diffusionpharma.com</w:t>
      </w:r>
      <w:r>
        <w:rPr>
          <w:rFonts w:ascii="Arial" w:cs="Arial" w:eastAsia="Arial" w:hAnsi="Arial"/>
          <w:sz w:val="18"/>
          <w:szCs w:val="18"/>
          <w:color w:val="auto"/>
        </w:rPr>
        <w:t xml:space="preserve"> or engage with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express and implied forward-looking statements within the meaning of the Private Securities Litigation Reform Act of 1995, as amended, regarding management’s intentions, plans, beliefs, expectations or forecasts for the future, including, but not limited to, the timing and potential outcome of the proposed transaction between Diffusion Pharmaceuticals and EIP Pharma; the therapeutic potential of neflamapimod; anticipated milestones related to the development of the combined company’s clinical programs and reporting of data; the expected ownership percentages of the combined company; and the expected management team and board of directors of the combined company. Terms such as “believes,” “estimates,” “anticipates,” “expects,” “plans,” “intends,” “may,” “could,” “might,” “will,” “should,” “approximately,” or other words that convey uncertainty of future events or outcomes may identify these forward-looking statements. Although there is believed to be reasonable basis for each forward-looking statement contained herein, forward-looking statements by their nature involve risks and uncertainties, known and unknown, many of which are beyond the parties’ control and, as a result, actual results could differ materially from those expressed or implied in any forward-looking statement. Particular risks and uncertainties include, among other things, those related to the timing and completion of the proposed transaction, including the satisfaction of closing conditions; the cash balances of the combined company following the closing, if completed, of the proposed transaction; the ability of Diffusion Pharmaceuticals to remain listed on the Nasdaq Capital Market, as well as comply with any Nasdaq rules and regulations related to the proposed transaction; the price of Diffusion Pharmaceuticals’ securities, which may be volatile due to a variety of factors, including changes in the competitive and highly regulated industries in which Diffusion Pharmaceuticals and/or EIP Pharma operates; variations in operating performance across competitors; changes in laws and regulations affecting Diffusion Pharmaceuticals’ or EIP Pharma’s business; the ability to implement business plans, forecasts, and other expectations after the completion of the proposed transaction; general economic, political, business, industry, and market conditions, inflationary pressures, and geopolitical conflicts; and the other factors discussed under the heading “Risk Factors” in Diffusion Pharmaceuticals’ most recent Annual Report on Form 10-K, the proxy statement/prospectus/information statement included in the Registration Statement on Amendment No. 2 to Form S-4, File No. 333-271823, filed by the Company with the SEC on July 12, 2023 and declared effective by the SEC on July 13, 2023, and other filings with the SEC. Any forward-looking statements in this press release speak only as of the date hereof (or such earlier date as may be identified). New factors emerge from time to time, and it is not possible for us to predict all such factors, nor can we assess the impact of each such factor on the businesses or the extent to which any factor, or combination of factors, may cause actual results to differ materially from those contained in any forward-looking statements. These risks, as well as other risks associated with the merger, will be more fully discussed in the proxy statement/prospectus that will be included in the registration statement that will be filed with the SEC in connection with the proposed transaction and, except as required by applicable law, rule, or regulation, neither Diffusion Pharmaceuticals nor EIP Pharma undertakes any obligation to update any such statements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Diffusion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dboateng@tiberend.com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EIP Investors &amp;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EIP@argotpartners.com</w:t>
      </w:r>
    </w:p>
    <w:p>
      <w:pPr>
        <w:sectPr>
          <w:pgSz w:w="11900" w:h="16838" w:orient="portrait"/>
          <w:cols w:equalWidth="0" w:num="1">
            <w:col w:w="11220"/>
          </w:cols>
          <w:pgMar w:left="320" w:top="580"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154305</wp:posOffset>
            </wp:positionV>
            <wp:extent cx="2160270" cy="574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21602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CervoMed Announces Completion of Merger with EIP Pharma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Shares of CervoMed to commence trading on Nasdaq under new ticker symbol "CRVO" on August 17, 2023</w:t>
      </w:r>
    </w:p>
    <w:p>
      <w:pPr>
        <w:spacing w:after="0" w:line="225" w:lineRule="exact"/>
        <w:rPr>
          <w:sz w:val="20"/>
          <w:szCs w:val="20"/>
          <w:color w:val="auto"/>
        </w:rPr>
      </w:pPr>
    </w:p>
    <w:p>
      <w:pPr>
        <w:jc w:val="center"/>
        <w:ind w:left="340" w:right="60"/>
        <w:spacing w:after="0" w:line="277" w:lineRule="auto"/>
        <w:rPr>
          <w:sz w:val="20"/>
          <w:szCs w:val="20"/>
          <w:color w:val="auto"/>
        </w:rPr>
      </w:pPr>
      <w:r>
        <w:rPr>
          <w:rFonts w:ascii="Arial" w:cs="Arial" w:eastAsia="Arial" w:hAnsi="Arial"/>
          <w:sz w:val="18"/>
          <w:szCs w:val="18"/>
          <w:i w:val="1"/>
          <w:iCs w:val="1"/>
          <w:color w:val="auto"/>
        </w:rPr>
        <w:t>CervoMed will be focused on advancing oral stress kinase inhibitor neflamapimod for the treatment of dementia with Lewy bodies and other degenerative diseases of the brain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CervoMed has a cash runway through Phase 2b clinical data which is expected during 2H 2024</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BOSTON, MA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16, 2023 </w:t>
      </w:r>
      <w:r>
        <w:rPr>
          <w:rFonts w:ascii="Arial" w:cs="Arial" w:eastAsia="Arial" w:hAnsi="Arial"/>
          <w:sz w:val="18"/>
          <w:szCs w:val="18"/>
          <w:color w:val="auto"/>
        </w:rPr>
        <w:t>– CervoMed Inc. (formerly known as Diffusion Pharmaceuticals Inc.) (NASDAQ: CRVO), now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developing treatments for degenerative diseases of the brain, today announced the closing of its previously announced merger with EIP Pharma Inc. The combined company will operate under the name CervoMed Inc., and its shares will commence trading on a 1-for-1.5 reverse split adjusted basis on August 17, 2023, on the Nasdaq Capital Market under the ticker symbol “CRVO”. CervoMed’s focus will be on advancing its lead drug candidate neflamapimod, an oral stress kinase inhibitor, which is currently being developed for the treatment of dementia with Lewy bodies (DLB) and other degenerative diseases of the brain.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merger with Diffusion, launch of CervoMed and entry into the public market is a transformative event that will accelerate the advancement of neflamapimod, first, and over the coming year, for the treatment of DLB, and later in Alzheimer’s disease and stroke recovery,” said John Alam, MD, Chief Executive Officer of CervoMed. “We are excited about the potential for neflamapimod to be the first-to-market disease-modifying drug therapy for DLB, with the potential to reverse and slow the progression of synaptic dysfunction that contributes to the typical cognitive and motor function decline associated with this devastating disease. Now that our Phase 2b DLB study, named RewinD-LB is underway, we anticipate completing enrollment during the first half of next year and reporting data from the placebo-controlled portion of the study during the second half of next year. We are well-funded through these catalysts and believe we are well-positioned to achieve our goal of creating new medicines for the brain.”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pleased by the close of this merger and the value I believe it will bring to Diffusion shareholders thanks to CervoMed’s encouraging CNS pipeline. I would particularly like to thank our executive team and board of directors for their significant efforts throughout the process leading to the closing of this merger,” said Robert J. Cobuzzi, Jr., Ph.D., former Chief Executive Officer of Diffusion Pharmaceuticals and Chief Operating Officer of CervoMed. “I look forward to the opportunity to serve CervoMed in my new role as COO, contributing to the Company’s efforts in our mission of bringing new medicines to patients living with degenerative diseases of the brain.”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Anticipated Catalysts/Milestones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several anticipated catalysts and development milestones for neflamapimod through the end of 2024, including:</w:t>
      </w:r>
    </w:p>
    <w:p>
      <w:pPr>
        <w:spacing w:after="0" w:line="225"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Publication of additional results from the Phase 2a clinical study in DLB in a peer-reviewed medical journal in the second half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380365</wp:posOffset>
            </wp:positionV>
            <wp:extent cx="2160270" cy="574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2160270" cy="574040"/>
                    </a:xfrm>
                    <a:prstGeom prst="rect">
                      <a:avLst/>
                    </a:prstGeom>
                    <a:noFill/>
                  </pic:spPr>
                </pic:pic>
              </a:graphicData>
            </a:graphic>
          </wp:anchor>
        </w:drawing>
      </w:r>
    </w:p>
    <w:p>
      <w:pPr>
        <w:ind w:left="660" w:right="22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Oral presentation of the RewinD-LB Phase 2b clinical study design at the Clinical Trials in Alzheimer’s Disease (CTAD) conference in October 2023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Completion of enrollment into the RewinD-LB Phase 2b clinical study in DLB in the first half of 2024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Reporting of data from placebo-controlled portion of RewinD-LB during the second half of 2024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announced on August 14, 2023, by EIP Pharma, following first-patient dosing, the RewinD-LB study is a randomized, 16-week double-blind, placebo-controlled phase 2b clinical trial of oral 40mg neflamapimod, three-times-per-day, in 160 patients with prodromal DLB or mild dementia due to DLB. Patients with Alzheimer's disease-related co-pathology, assessed by a blood biomarker, will be excluded. All patients completing the placebo-controlled main study will receive an additional 32 weeks of neflamapimod on an open-label basis.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EIP Pharma was previously awarded a $21 million grant from the National Institutes of Health’s National Institute on Aging (NIA) which will fully fund development costs associated with the ongoing Phase 2b DLB study. The NIA grant funds will be disbursed over the course of the study as costs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closing of the merger, Diffusion Pharmaceuticals enacted a 1-for-1.5 reverse stock split of its common stock. Following the reverse stock split and closing of the merger, there will be approximately 5.7 million shares of the combined company’s common stock outstanding, with prior EIP Pharma shareholders owning approximately 77.95% and prior Diffusion Pharmaceuticals shareholders owning 22.05%. CervoMed, Inc. will trade on the Nasdaq Capital Market under a new ticker symbol, “CRVO”.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management team of EIP Pharma has become the management team of the CervoMed, led by John Alam, MD, as Chief Executive Officer and President. In addition, Robert J. Cobuzzi, Jr., PhD, the former Chief Executive Officer of Diffusion Pharmaceuticals, will serve as the Chief Operating Officer of CervoMed. The board of directors is comprised of seven directors including Dr. Alam, Sylvie Grégoire, PharmD, who will serve as Chair, Jeff Poulton, Chief Financial Officer at Alnylam, who will serve chair of the audit committee, and Diffusion Pharmaceuticals’ former Chair of the board of directors, Jane Hollingsworth, JD.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EIP Pharma Inc. is now a wholly owned subsidiary of CervoMed.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Canaccord Genuity served as financial advisor and Dechert LLP provided legal counsel to Diffusion Pharmaceuticals. Mintz, Levin, Cohn, Ferris, Glovsky and Popeo, P.C. provided legal counsel to EIP 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Neflamapimod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Neflamapimod is an investigational drug that is an orally administered small molecule brain penetrant that inhibits p38MAP kinase alpha (p38a). P38a, which is expressed in neurons under conditions of stress and disease, plays a major role in inflammation-induced synaptic toxicity, leading to synaptic dysfunction. Neflamapimod is currently being developed for the treatment of dementia with Lewy bodies (DLB) and is the first treatment with the potential to have a positive impact on cognition, function and motor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ind w:right="60"/>
        <w:spacing w:after="0" w:line="253" w:lineRule="auto"/>
        <w:rPr>
          <w:sz w:val="20"/>
          <w:szCs w:val="20"/>
          <w:color w:val="auto"/>
        </w:rPr>
      </w:pPr>
      <w:r>
        <w:rPr>
          <w:rFonts w:ascii="Arial" w:cs="Arial" w:eastAsia="Arial" w:hAnsi="Arial"/>
          <w:sz w:val="18"/>
          <w:szCs w:val="18"/>
          <w:color w:val="auto"/>
        </w:rPr>
        <w:t>In preclinical studies, neflamapimod reversed synaptic dysfunction, including and particularly within the part of the brain most impacted in DLB – the basal forebrain cholinergic system. In Phase 1 and Phase 2 clinical studies involving more than 300 participants, neflamapimod has been shown to be generally well tolerated. Results from the AscenD-LB Phase 2a clinical study demonstrated that neflamapimod significantly improved dementia severity compared to placebo and also showed significant improvement on motor function compared to placebo. At the highest dose evaluated, neflamapimod improved cognition. The combined preclinical and clinical data are consistent with neflamapimod treating the underlying DLB disease process and suggest it has the potential to be the first disease-modifying treatment for DLB. Neflamapimod was granted Fast Track status by the U.S. Food and Drug Administration for the treatment of DLB and EIP Pharma was recently awarded a $21 million grant from the National Institutes of Health’s National Institute on Aging (NIA) to evaluate neflamapimod in a Phase 2b clinical study in DLB. The NIA grant funds will be disbursed over the course of study as the costs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133985</wp:posOffset>
            </wp:positionV>
            <wp:extent cx="2160270" cy="574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21602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CervoMed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CervoMed Inc. is a clinical-stage biotechnology company advancing CNS-focused therapeutics to benefit patients with a range of degenerative diseases of the brain. The Company is currently developing neflamapimod, an investigational orally administered small molecule brain penetrant that inhibits p38MAP kinase alpha (p38a). Neflamapimod has the potential to treat synaptic dysfunction, the reversible aspect of the underlying neurodegenerative processes that cause disease in dementia with Lewy bodies (DLB) and certain other major neurological disorders. Neflamapimod is currently being evaluated in a Phase 2b study in patients with DLB.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express and implied forward-looking statements within the meaning of the Private Securities Litigation Reform Act of 1995, as amended, regarding management’s intentions, plans, beliefs, expectations or forecasts for the future, including, but not limited to, the potential benefits of the transaction between Diffusion Pharmaceuticals and EIP Pharma; the therapeutic potential of neflamapimod; anticipated milestones related to the development of the combined company’s clinical programs and reporting of data; the expected ownership percentages of the combined company; and the expected management team and board of directors of the combined company. Terms such as “believes,” “estimates,” “anticipates,” “expects,” “plans,” “intends,” “may,” “could,” “might,” “will,” “should,” “approximately,” or other words that convey uncertainty of future events or outcomes may identify these forward-looking statements. Although there is believed to be reasonable basis for each forward-looking statement contained herein, forward-looking statements by their nature involve risks and uncertainties, known and unknown, many of which are beyond the parties’ control and, as a result, actual results could differ materially from those expressed or implied in any forward-looking statement. Particular risks and uncertainties include, among other things, those related the cash balances of the combined company following the closing; the ability of the combined company to remain listed on the Nasdaq Capital Market, as well as comply with any Nasdaq rules and regulations; the price of the combined company’s securities, which may be volatile due to a variety of factors, including changes in the competitive and highly regulated industries in which the combined company operates; variations in operating performance across competitors; changes in laws and regulations affecting the combined company’s business; the ability to implement business plans, forecasts, and other expectations after the completion of the proposed transaction; general economic, political, business, industry, and market conditions, inflationary pressures, and geopolitical conflicts; and the other factors discussed under the heading “Risk Factors” in the Company’s most recent Annual Report on Form 10-K, in the proxy statement/prospectus/information statement that is included in the registration statement on Form S-4 (File No. 333-271823) that was filed with the SEC, and other filings that the Company may file from time to time with the SEC. Any forward-looking statements in this press release speak only as of the date hereof (or such earlier date as may be identified). New factors emerge from time to time, and it is not possible for us to predict all such factors, nor can we assess the impact of each such factor on the businesses or the extent to which any factor, or combination of factors, may cause actual results to differ materially from those contained in any forward-looking statements. The Company does not undertake any obligation to update such forward-looking statements to reflect events or circumstances after the date of this release, except to the extent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CervoMed Investors &amp;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CervoMed@argotpartners.com</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lowerLetter"/>
      <w:start w:val="2"/>
    </w:lvl>
  </w:abstractNum>
  <w:abstractNum w:abstractNumId="4">
    <w:nsid w:val="235BA861"/>
    <w:multiLevelType w:val="hybridMultilevel"/>
    <w:lvl w:ilvl="0">
      <w:lvlJc w:val="left"/>
      <w:lvlText w:val="(%1)"/>
      <w:numFmt w:val="lowerLetter"/>
      <w:start w:val="1"/>
    </w:lvl>
  </w:abstractNum>
  <w:abstractNum w:abstractNumId="5">
    <w:nsid w:val="47398C89"/>
    <w:multiLevelType w:val="hybridMultilevel"/>
    <w:lvl w:ilvl="0">
      <w:lvlJc w:val="left"/>
      <w:lvlText w:val="(%1)"/>
      <w:numFmt w:val="lowerLetter"/>
      <w:start w:val="2"/>
    </w:lvl>
  </w:abstractNum>
  <w:abstractNum w:abstractNumId="6">
    <w:nsid w:val="354FE9F9"/>
    <w:multiLevelType w:val="hybridMultilevel"/>
    <w:lvl w:ilvl="0">
      <w:lvlJc w:val="left"/>
      <w:lvlText w:val="(%1)"/>
      <w:numFmt w:val="lowerLetter"/>
      <w:start w:val="4"/>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lowerLetter"/>
      <w:start w:val="1"/>
    </w:lvl>
    <w:lvl w:ilvl="1">
      <w:lvlJc w:val="left"/>
      <w:lvlText w:val="(%2)"/>
      <w:numFmt w:val="lowerLetter"/>
      <w:start w:val="1"/>
    </w:lvl>
  </w:abstractNum>
  <w:abstractNum w:abstractNumId="12">
    <w:nsid w:val="61574095"/>
    <w:multiLevelType w:val="hybridMultilevel"/>
    <w:lvl w:ilvl="0">
      <w:lvlJc w:val="left"/>
      <w:lvlText w:val="(%1)"/>
      <w:numFmt w:val="lowerLetter"/>
      <w:start w:val="9"/>
    </w:lvl>
    <w:lvl w:ilvl="1">
      <w:lvlJc w:val="left"/>
      <w:lvlText w:val="%2"/>
      <w:numFmt w:val="lowerLetter"/>
      <w:start w:val="1"/>
    </w:lvl>
  </w:abstractNum>
  <w:abstractNum w:abstractNumId="13">
    <w:nsid w:val="7E0C57B1"/>
    <w:multiLevelType w:val="hybridMultilevel"/>
    <w:lvl w:ilvl="0">
      <w:lvlJc w:val="left"/>
      <w:lvlText w:val="(%1)"/>
      <w:numFmt w:val="lowerLetter"/>
      <w:start w:val="3"/>
    </w:lvl>
    <w:lvl w:ilvl="1">
      <w:lvlJc w:val="left"/>
      <w:lvlText w:val="(%2)"/>
      <w:numFmt w:val="lowerLetter"/>
      <w:start w:val="9"/>
    </w:lvl>
  </w:abstractNum>
  <w:abstractNum w:abstractNumId="14">
    <w:nsid w:val="77AE35EB"/>
    <w:multiLevelType w:val="hybridMultilevel"/>
    <w:lvl w:ilvl="0">
      <w:lvlJc w:val="left"/>
      <w:lvlText w:val="(%1)"/>
      <w:numFmt w:val="lowerRoman"/>
      <w:start w:val="2"/>
    </w:lvl>
  </w:abstractNum>
  <w:abstractNum w:abstractNumId="15">
    <w:nsid w:val="579BE4F1"/>
    <w:multiLevelType w:val="hybridMultilevel"/>
    <w:lvl w:ilvl="0">
      <w:lvlJc w:val="left"/>
      <w:lvlText w:val="(%1)"/>
      <w:numFmt w:val="lowerRoman"/>
      <w:start w:val="3"/>
    </w:lvl>
  </w:abstractNum>
  <w:abstractNum w:abstractNumId="16">
    <w:nsid w:val="310C50B3"/>
    <w:multiLevelType w:val="hybridMultilevel"/>
    <w:lvl w:ilvl="0">
      <w:lvlJc w:val="left"/>
      <w:lvlText w:val="%1"/>
      <w:numFmt w:val="decimal"/>
      <w:start w:val="1"/>
    </w:lvl>
    <w:lvl w:ilvl="1">
      <w:lvlJc w:val="left"/>
      <w:lvlText w:val="(%2)"/>
      <w:numFmt w:val="upperLetter"/>
      <w:start w:val="1"/>
    </w:lvl>
  </w:abstractNum>
  <w:abstractNum w:abstractNumId="17">
    <w:nsid w:val="5FF87E05"/>
    <w:multiLevelType w:val="hybridMultilevel"/>
    <w:lvl w:ilvl="0">
      <w:lvlJc w:val="left"/>
      <w:lvlText w:val="(%1)"/>
      <w:numFmt w:val="decimal"/>
      <w:start w:val="10"/>
    </w:lvl>
    <w:lvl w:ilvl="1">
      <w:lvlJc w:val="left"/>
      <w:lvlText w:val="%2"/>
      <w:numFmt w:val="upperLetter"/>
      <w:start w:val="1"/>
    </w:lvl>
  </w:abstractNum>
  <w:abstractNum w:abstractNumId="18">
    <w:nsid w:val="2F305DEF"/>
    <w:multiLevelType w:val="hybridMultilevel"/>
    <w:lvl w:ilvl="0">
      <w:lvlJc w:val="left"/>
      <w:lvlText w:val="(%1)"/>
      <w:numFmt w:val="upperLetter"/>
      <w:start w:val="3"/>
    </w:lvl>
    <w:lvl w:ilvl="1">
      <w:lvlJc w:val="left"/>
      <w:lvlText w:val="(%2)"/>
      <w:numFmt w:val="decimal"/>
      <w:start w:val="1"/>
    </w:lvl>
  </w:abstractNum>
  <w:abstractNum w:abstractNumId="19">
    <w:nsid w:val="25A70BF7"/>
    <w:multiLevelType w:val="hybridMultilevel"/>
    <w:lvl w:ilvl="0">
      <w:lvlJc w:val="left"/>
      <w:lvlText w:val="%1"/>
      <w:numFmt w:val="decimal"/>
      <w:start w:val="1"/>
    </w:lvl>
    <w:lvl w:ilvl="1">
      <w:lvlJc w:val="left"/>
      <w:lvlText w:val="(%2)"/>
      <w:numFmt w:val="lowerLetter"/>
      <w:start w:val="5"/>
    </w:lvl>
  </w:abstractNum>
  <w:abstractNum w:abstractNumId="20">
    <w:nsid w:val="1DBABF00"/>
    <w:multiLevelType w:val="hybridMultilevel"/>
    <w:lvl w:ilvl="0">
      <w:lvlJc w:val="left"/>
      <w:lvlText w:val="(%1)"/>
      <w:numFmt w:val="decimal"/>
      <w:start w:val="70"/>
    </w:lvl>
    <w:lvl w:ilvl="1">
      <w:lvlJc w:val="left"/>
      <w:lvlText w:val="(%2)"/>
      <w:numFmt w:val="lowerLetter"/>
      <w:start w:val="6"/>
    </w:lvl>
  </w:abstractNum>
  <w:abstractNum w:abstractNumId="21">
    <w:nsid w:val="4AD084E9"/>
    <w:multiLevelType w:val="hybridMultilevel"/>
    <w:lvl w:ilvl="0">
      <w:lvlJc w:val="left"/>
      <w:lvlText w:val="(%1)"/>
      <w:numFmt w:val="lowerLetter"/>
      <w:start w:val="8"/>
    </w:lvl>
  </w:abstractNum>
  <w:abstractNum w:abstractNumId="22">
    <w:nsid w:val="1F48EAA1"/>
    <w:multiLevelType w:val="hybridMultilevel"/>
    <w:lvl w:ilvl="0">
      <w:lvlJc w:val="left"/>
      <w:lvlText w:val="(%1)"/>
      <w:numFmt w:val="lowerLetter"/>
      <w:start w:val="1"/>
    </w:lvl>
  </w:abstractNum>
  <w:abstractNum w:abstractNumId="23">
    <w:nsid w:val="1381823A"/>
    <w:multiLevelType w:val="hybridMultilevel"/>
    <w:lvl w:ilvl="0">
      <w:lvlJc w:val="left"/>
      <w:lvlText w:val="(%1)"/>
      <w:numFmt w:val="lowerLetter"/>
      <w:start w:val="1"/>
    </w:lvl>
  </w:abstractNum>
  <w:abstractNum w:abstractNumId="24">
    <w:nsid w:val="5DB70AE5"/>
    <w:multiLevelType w:val="hybridMultilevel"/>
    <w:lvl w:ilvl="0">
      <w:lvlJc w:val="left"/>
      <w:lvlText w:val="(%1)"/>
      <w:numFmt w:val="decimal"/>
      <w:start w:val="10"/>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1"/>
    </w:lvl>
  </w:abstractNum>
  <w:abstractNum w:abstractNumId="27">
    <w:nsid w:val="15014ACB"/>
    <w:multiLevelType w:val="hybridMultilevel"/>
    <w:lvl w:ilvl="0">
      <w:lvlJc w:val="left"/>
      <w:lvlText w:val="(%1)"/>
      <w:numFmt w:val="lowerLetter"/>
      <w:start w:val="2"/>
    </w:lvl>
  </w:abstractNum>
  <w:abstractNum w:abstractNumId="28">
    <w:nsid w:val="5F5E7FD0"/>
    <w:multiLevelType w:val="hybridMultilevel"/>
    <w:lvl w:ilvl="0">
      <w:lvlJc w:val="left"/>
      <w:lvlText w:val="(%1)"/>
      <w:numFmt w:val="lowerLetter"/>
      <w:start w:val="1"/>
    </w:lvl>
  </w:abstractNum>
  <w:abstractNum w:abstractNumId="29">
    <w:nsid w:val="98A3148"/>
    <w:multiLevelType w:val="hybridMultilevel"/>
    <w:lvl w:ilvl="0">
      <w:lvlJc w:val="left"/>
      <w:lvlText w:val="(%1)"/>
      <w:numFmt w:val="lowerLetter"/>
      <w:start w:val="5"/>
    </w:lvl>
  </w:abstractNum>
  <w:abstractNum w:abstractNumId="30">
    <w:nsid w:val="799D0247"/>
    <w:multiLevelType w:val="hybridMultilevel"/>
    <w:lvl w:ilvl="0">
      <w:lvlJc w:val="left"/>
      <w:lvlText w:val="(%1)"/>
      <w:numFmt w:val="lowerLetter"/>
      <w:start w:val="1"/>
    </w:lvl>
  </w:abstractNum>
  <w:abstractNum w:abstractNumId="31">
    <w:nsid w:val="6B94764"/>
    <w:multiLevelType w:val="hybridMultilevel"/>
    <w:lvl w:ilvl="0">
      <w:lvlJc w:val="left"/>
      <w:lvlText w:val="%1"/>
      <w:numFmt w:val="lowerLetter"/>
      <w:start w:val="1"/>
    </w:lvl>
    <w:lvl w:ilvl="1">
      <w:lvlJc w:val="left"/>
      <w:lvlText w:val="(%2)"/>
      <w:numFmt w:val="lowerLetter"/>
      <w:start w:val="1"/>
    </w:lvl>
  </w:abstractNum>
  <w:abstractNum w:abstractNumId="32">
    <w:nsid w:val="42C296BD"/>
    <w:multiLevelType w:val="hybridMultilevel"/>
    <w:lvl w:ilvl="0">
      <w:lvlJc w:val="left"/>
      <w:lvlText w:val="(%1)"/>
      <w:numFmt w:val="lowerLetter"/>
      <w:start w:val="9"/>
    </w:lvl>
    <w:lvl w:ilvl="1">
      <w:lvlJc w:val="left"/>
      <w:lvlText w:val="(%2)"/>
      <w:numFmt w:val="lowerLetter"/>
      <w:start w:val="2"/>
    </w:lvl>
  </w:abstractNum>
  <w:abstractNum w:abstractNumId="33">
    <w:nsid w:val="168E121F"/>
    <w:multiLevelType w:val="hybridMultilevel"/>
    <w:lvl w:ilvl="0">
      <w:lvlJc w:val="left"/>
      <w:lvlText w:val="(%1)"/>
      <w:numFmt w:val="lowerLetter"/>
      <w:start w:val="1"/>
    </w:lvl>
    <w:lvl w:ilvl="1">
      <w:lvlJc w:val="left"/>
      <w:lvlText w:val="%2"/>
      <w:numFmt w:val="lowerLetter"/>
      <w:start w:val="1"/>
    </w:lvl>
  </w:abstractNum>
  <w:abstractNum w:abstractNumId="34">
    <w:nsid w:val="1EBA5D23"/>
    <w:multiLevelType w:val="hybridMultilevel"/>
    <w:lvl w:ilvl="0">
      <w:lvlJc w:val="left"/>
      <w:lvlText w:val="(%1)"/>
      <w:numFmt w:val="lowerLetter"/>
      <w:start w:val="3"/>
    </w:lvl>
  </w:abstractNum>
  <w:abstractNum w:abstractNumId="35">
    <w:nsid w:val="661E3F1E"/>
    <w:multiLevelType w:val="hybridMultilevel"/>
    <w:lvl w:ilvl="0">
      <w:lvlJc w:val="left"/>
      <w:lvlText w:val="(%1)"/>
      <w:numFmt w:val="lowerLetter"/>
      <w:start w:val="1"/>
    </w:lvl>
  </w:abstractNum>
  <w:abstractNum w:abstractNumId="36">
    <w:nsid w:val="5DC79EA8"/>
    <w:multiLevelType w:val="hybridMultilevel"/>
    <w:lvl w:ilvl="0">
      <w:lvlJc w:val="left"/>
      <w:lvlText w:val="(%1)"/>
      <w:numFmt w:val="lowerLetter"/>
      <w:start w:val="2"/>
    </w:lvl>
  </w:abstractNum>
  <w:abstractNum w:abstractNumId="37">
    <w:nsid w:val="540A471C"/>
    <w:multiLevelType w:val="hybridMultilevel"/>
    <w:lvl w:ilvl="0">
      <w:lvlJc w:val="left"/>
      <w:lvlText w:val="(%1)"/>
      <w:numFmt w:val="lowerLetter"/>
      <w:start w:val="6"/>
    </w:lvl>
  </w:abstractNum>
  <w:abstractNum w:abstractNumId="38">
    <w:nsid w:val="7BD3EE7B"/>
    <w:multiLevelType w:val="hybridMultilevel"/>
    <w:lvl w:ilvl="0">
      <w:lvlJc w:val="left"/>
      <w:lvlText w:val="(%1)"/>
      <w:numFmt w:val="lowerLetter"/>
      <w:start w:val="7"/>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1)"/>
      <w:numFmt w:val="lowerLetter"/>
      <w:start w:val="2"/>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1)"/>
      <w:numFmt w:val="lowerLetter"/>
      <w:start w:val="6"/>
    </w:lvl>
  </w:abstractNum>
  <w:abstractNum w:abstractNumId="43">
    <w:nsid w:val="42963E5A"/>
    <w:multiLevelType w:val="hybridMultilevel"/>
    <w:lvl w:ilvl="0">
      <w:lvlJc w:val="left"/>
      <w:lvlText w:val="(%1)"/>
      <w:numFmt w:val="lowerRoman"/>
      <w:start w:val="2"/>
    </w:lvl>
  </w:abstractNum>
  <w:abstractNum w:abstractNumId="44">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5">
    <w:nsid w:val="8F2B15E"/>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46">
    <w:nsid w:val="1A32234B"/>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47">
    <w:nsid w:val="3B0FD379"/>
    <w:multiLevelType w:val="hybridMultilevel"/>
    <w:lvl w:ilvl="0">
      <w:lvlJc w:val="left"/>
      <w:lvlText w:val="(%1)"/>
      <w:numFmt w:val="lowerLetter"/>
      <w:start w:val="3"/>
    </w:lvl>
  </w:abstractNum>
  <w:abstractNum w:abstractNumId="48">
    <w:nsid w:val="68EB2F63"/>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9">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50">
    <w:nsid w:val="60B6DF7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51">
    <w:nsid w:val="6A5EE6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2">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53">
    <w:nsid w:val="7FFFCA1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
      <w:numFmt w:val="bullet"/>
      <w:start w:val="1"/>
    </w:lvl>
  </w:abstractNum>
  <w:abstractNum w:abstractNumId="54">
    <w:nsid w:val="1A27709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55">
    <w:nsid w:val="71EA1109"/>
    <w:multiLevelType w:val="hybridMultilevel"/>
    <w:lvl w:ilvl="0">
      <w:lvlJc w:val="left"/>
      <w:lvlText w:val="%1."/>
      <w:numFmt w:val="decimal"/>
      <w:start w:val="5"/>
    </w:lvl>
  </w:abstractNum>
  <w:abstractNum w:abstractNumId="56">
    <w:nsid w:val="100F59DC"/>
    <w:multiLevelType w:val="hybridMultilevel"/>
    <w:lvl w:ilvl="0">
      <w:lvlJc w:val="left"/>
      <w:lvlText w:val="%1."/>
      <w:numFmt w:val="decimal"/>
      <w:start w:val="8"/>
    </w:lvl>
    <w:lvl w:ilvl="1">
      <w:lvlJc w:val="left"/>
      <w:lvlText w:val="-"/>
      <w:numFmt w:val="bullet"/>
      <w:start w:val="1"/>
    </w:lvl>
  </w:abstractNum>
  <w:abstractNum w:abstractNumId="57">
    <w:nsid w:val="7FB7E0AA"/>
    <w:multiLevelType w:val="hybridMultilevel"/>
    <w:lvl w:ilvl="0">
      <w:lvlJc w:val="left"/>
      <w:lvlText w:val="%1."/>
      <w:numFmt w:val="decimal"/>
      <w:start w:val="9"/>
    </w:lvl>
    <w:lvl w:ilvl="1">
      <w:lvlJc w:val="left"/>
      <w:lvlText w:val="-"/>
      <w:numFmt w:val="bullet"/>
      <w:start w:val="1"/>
    </w:lvl>
  </w:abstractNum>
  <w:abstractNum w:abstractNumId="58">
    <w:nsid w:val="6EB5BD4"/>
    <w:multiLevelType w:val="hybridMultilevel"/>
    <w:lvl w:ilvl="0">
      <w:lvlJc w:val="left"/>
      <w:lvlText w:val="%1."/>
      <w:numFmt w:val="decimal"/>
      <w:start w:val="15"/>
    </w:lvl>
    <w:lvl w:ilvl="1">
      <w:lvlJc w:val="left"/>
      <w:lvlText w:val="*"/>
      <w:numFmt w:val="bullet"/>
      <w:start w:val="1"/>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3"/>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5"/>
    </w:lvl>
  </w:abstractNum>
  <w:abstractNum w:abstractNumId="63">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4">
    <w:nsid w:val="1716703B"/>
    <w:multiLevelType w:val="hybridMultilevel"/>
    <w:lvl w:ilvl="0">
      <w:lvlJc w:val="left"/>
      <w:lvlText w:val="%1"/>
      <w:numFmt w:val="lowerLetter"/>
      <w:start w:val="1"/>
    </w:lvl>
    <w:lvl w:ilvl="1">
      <w:lvlJc w:val="left"/>
      <w:lvlText w:val="(%2)"/>
      <w:numFmt w:val="lowerLetter"/>
      <w:start w:val="35"/>
    </w:lvl>
  </w:abstractNum>
  <w:abstractNum w:abstractNumId="65">
    <w:nsid w:val="14E17E33"/>
    <w:multiLevelType w:val="hybridMultilevel"/>
    <w:lvl w:ilvl="0">
      <w:lvlJc w:val="left"/>
      <w:lvlText w:val="(%1)"/>
      <w:numFmt w:val="lowerLetter"/>
      <w:start w:val="2"/>
    </w:lvl>
    <w:lvl w:ilvl="1">
      <w:lvlJc w:val="left"/>
      <w:lvlText w:val="%2"/>
      <w:numFmt w:val="lowerLetter"/>
      <w:start w:val="1"/>
    </w:lvl>
  </w:abstractNum>
  <w:abstractNum w:abstractNumId="66">
    <w:nsid w:val="3222E7C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7">
    <w:nsid w:val="74DE0EE3"/>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68">
    <w:nsid w:val="68EBC550"/>
    <w:multiLevelType w:val="hybridMultilevel"/>
    <w:lvl w:ilvl="0">
      <w:lvlJc w:val="left"/>
      <w:lvlText w:val="(%1)"/>
      <w:numFmt w:val="lowerLetter"/>
      <w:start w:val="5"/>
    </w:lvl>
    <w:lvl w:ilvl="1">
      <w:lvlJc w:val="left"/>
      <w:lvlText w:val="(%2)"/>
      <w:numFmt w:val="lowerLetter"/>
      <w:start w:val="9"/>
    </w:lvl>
    <w:lvl w:ilvl="2">
      <w:lvlJc w:val="left"/>
      <w:lvlText w:val="-"/>
      <w:numFmt w:val="bullet"/>
      <w:start w:val="1"/>
    </w:lvl>
  </w:abstractNum>
  <w:abstractNum w:abstractNumId="69">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lvl w:ilvl="4">
      <w:lvlJc w:val="left"/>
      <w:lvlText w:val="-"/>
      <w:numFmt w:val="bullet"/>
      <w:start w:val="1"/>
    </w:lvl>
  </w:abstractNum>
  <w:abstractNum w:abstractNumId="70">
    <w:nsid w:val="46B7D44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
      <w:numFmt w:val="bullet"/>
      <w:start w:val="1"/>
    </w:lvl>
  </w:abstractNum>
  <w:abstractNum w:abstractNumId="71">
    <w:nsid w:val="4A2AC315"/>
    <w:multiLevelType w:val="hybridMultilevel"/>
    <w:lvl w:ilvl="0">
      <w:lvlJc w:val="left"/>
      <w:lvlText w:val="(%1)"/>
      <w:numFmt w:val="lowerLetter"/>
      <w:start w:val="2"/>
    </w:lvl>
    <w:lvl w:ilvl="1">
      <w:lvlJc w:val="left"/>
      <w:lvlText w:val="-"/>
      <w:numFmt w:val="bullet"/>
      <w:start w:val="1"/>
    </w:lvl>
  </w:abstractNum>
  <w:abstractNum w:abstractNumId="72">
    <w:nsid w:val="39EE015C"/>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3">
    <w:nsid w:val="57FC4FBB"/>
    <w:multiLevelType w:val="hybridMultilevel"/>
    <w:lvl w:ilvl="0">
      <w:lvlJc w:val="left"/>
      <w:lvlText w:val="%1."/>
      <w:numFmt w:val="decimal"/>
      <w:start w:val="4"/>
    </w:lvl>
  </w:abstractNum>
  <w:abstractNum w:abstractNumId="74">
    <w:nsid w:val="CC1016F"/>
    <w:multiLevelType w:val="hybridMultilevel"/>
    <w:lvl w:ilvl="0">
      <w:lvlJc w:val="left"/>
      <w:lvlText w:val="%1."/>
      <w:numFmt w:val="decimal"/>
      <w:start w:val="8"/>
    </w:lvl>
    <w:lvl w:ilvl="1">
      <w:lvlJc w:val="left"/>
      <w:lvlText w:val="-"/>
      <w:numFmt w:val="bullet"/>
      <w:start w:val="1"/>
    </w:lvl>
  </w:abstractNum>
  <w:abstractNum w:abstractNumId="75">
    <w:nsid w:val="43F18422"/>
    <w:multiLevelType w:val="hybridMultilevel"/>
    <w:lvl w:ilvl="0">
      <w:lvlJc w:val="left"/>
      <w:lvlText w:val="%1."/>
      <w:numFmt w:val="decimal"/>
      <w:start w:val="13"/>
    </w:lvl>
    <w:lvl w:ilvl="1">
      <w:lvlJc w:val="left"/>
      <w:lvlText w:val="-"/>
      <w:numFmt w:val="bullet"/>
      <w:start w:val="1"/>
    </w:lvl>
    <w:lvl w:ilvl="2">
      <w:lvlJc w:val="left"/>
      <w:lvlText w:val="*"/>
      <w:numFmt w:val="bullet"/>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1."/>
      <w:numFmt w:val="decimal"/>
      <w:start w:val="3"/>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5"/>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6"/>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2"/>
    </w:lvl>
    <w:lvl w:ilvl="1">
      <w:lvlJc w:val="left"/>
      <w:lvlText w:val="(%2)"/>
      <w:numFmt w:val="lowerRoman"/>
      <w:start w:val="1"/>
    </w:lvl>
  </w:abstractNum>
  <w:abstractNum w:abstractNumId="84">
    <w:nsid w:val="5FB8011C"/>
    <w:multiLevelType w:val="hybridMultilevel"/>
    <w:lvl w:ilvl="0">
      <w:lvlJc w:val="left"/>
      <w:lvlText w:val="%1"/>
      <w:numFmt w:val="lowerLetter"/>
      <w:start w:val="1"/>
    </w:lvl>
    <w:lvl w:ilvl="1">
      <w:lvlJc w:val="left"/>
      <w:lvlText w:val="(%2)"/>
      <w:numFmt w:val="lowerRoman"/>
      <w:start w:val="5"/>
    </w:lvl>
  </w:abstractNum>
  <w:abstractNum w:abstractNumId="85">
    <w:nsid w:val="6AA78F7F"/>
    <w:multiLevelType w:val="hybridMultilevel"/>
    <w:lvl w:ilvl="0">
      <w:lvlJc w:val="left"/>
      <w:lvlText w:val="(%1)"/>
      <w:numFmt w:val="lowerLetter"/>
      <w:start w:val="3"/>
    </w:lvl>
    <w:lvl w:ilvl="1">
      <w:lvlJc w:val="left"/>
      <w:lvlText w:val="%2"/>
      <w:numFmt w:val="lowerRoman"/>
      <w:start w:val="1"/>
    </w:lvl>
  </w:abstractNum>
  <w:abstractNum w:abstractNumId="86">
    <w:nsid w:val="7672BD23"/>
    <w:multiLevelType w:val="hybridMultilevel"/>
    <w:lvl w:ilvl="0">
      <w:lvlJc w:val="left"/>
      <w:lvlText w:val="(%1)"/>
      <w:numFmt w:val="lowerLetter"/>
      <w:start w:val="4"/>
    </w:lvl>
  </w:abstractNum>
  <w:abstractNum w:abstractNumId="87">
    <w:nsid w:val="6FC75AF8"/>
    <w:multiLevelType w:val="hybridMultilevel"/>
    <w:lvl w:ilvl="0">
      <w:lvlJc w:val="left"/>
      <w:lvlText w:val="(%1)"/>
      <w:numFmt w:val="lowerLetter"/>
      <w:start w:val="5"/>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1)"/>
      <w:numFmt w:val="lowerLetter"/>
      <w:start w:val="4"/>
    </w:lvl>
    <w:lvl w:ilvl="1">
      <w:lvlJc w:val="left"/>
      <w:lvlText w:val="(%2)"/>
      <w:numFmt w:val="lowerLetter"/>
      <w:start w:val="6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3"/>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5"/>
    </w:lvl>
    <w:lvl w:ilvl="1">
      <w:lvlJc w:val="left"/>
      <w:lvlText w:val="(%2)"/>
      <w:numFmt w:val="lowerRoman"/>
      <w:start w:val="1"/>
    </w:lvl>
  </w:abstractNum>
  <w:abstractNum w:abstractNumId="94">
    <w:nsid w:val="3FA62ACA"/>
    <w:multiLevelType w:val="hybridMultilevel"/>
    <w:lvl w:ilvl="0">
      <w:lvlJc w:val="left"/>
      <w:lvlText w:val="(%1)"/>
      <w:numFmt w:val="lowerRoman"/>
      <w:start w:val="2"/>
    </w:lvl>
  </w:abstractNum>
  <w:abstractNum w:abstractNumId="95">
    <w:nsid w:val="14FCE74E"/>
    <w:multiLevelType w:val="hybridMultilevel"/>
    <w:lvl w:ilvl="0">
      <w:lvlJc w:val="left"/>
      <w:lvlText w:val="%1"/>
      <w:numFmt w:val="lowerLetter"/>
      <w:start w:val="1"/>
    </w:lvl>
    <w:lvl w:ilvl="1">
      <w:lvlJc w:val="left"/>
      <w:lvlText w:val="(%2)"/>
      <w:numFmt w:val="lowerLetter"/>
      <w:start w:val="61"/>
    </w:lvl>
  </w:abstractNum>
  <w:abstractNum w:abstractNumId="96">
    <w:nsid w:val="6A3DD3E8"/>
    <w:multiLevelType w:val="hybridMultilevel"/>
    <w:lvl w:ilvl="0">
      <w:lvlJc w:val="left"/>
      <w:lvlText w:val="(%1)"/>
      <w:numFmt w:val="lowerLetter"/>
      <w:start w:val="8"/>
    </w:lvl>
    <w:lvl w:ilvl="1">
      <w:lvlJc w:val="left"/>
      <w:lvlText w:val="%2"/>
      <w:numFmt w:val="lowerLetter"/>
      <w:start w:val="1"/>
    </w:lvl>
  </w:abstractNum>
  <w:abstractNum w:abstractNumId="97">
    <w:nsid w:val="71C91298"/>
    <w:multiLevelType w:val="hybridMultilevel"/>
    <w:lvl w:ilvl="0">
      <w:lvlJc w:val="left"/>
      <w:lvlText w:val="(%1)"/>
      <w:numFmt w:val="lowerLetter"/>
      <w:start w:val="13"/>
    </w:lvl>
    <w:lvl w:ilvl="1">
      <w:lvlJc w:val="left"/>
      <w:lvlText w:val="(%2)"/>
      <w:numFmt w:val="lowerRoman"/>
      <w:start w:val="7"/>
    </w:lvl>
  </w:abstractNum>
  <w:abstractNum w:abstractNumId="98">
    <w:nsid w:val="9DAF632"/>
    <w:multiLevelType w:val="hybridMultilevel"/>
    <w:lvl w:ilvl="0">
      <w:lvlJc w:val="left"/>
      <w:lvlText w:val="(%1)"/>
      <w:numFmt w:val="decimal"/>
      <w:start w:val="1"/>
    </w:lvl>
    <w:lvl w:ilvl="1">
      <w:lvlJc w:val="left"/>
      <w:lvlText w:val="☐"/>
      <w:numFmt w:val="bullet"/>
      <w:start w:val="1"/>
    </w:lvl>
  </w:abstractNum>
  <w:abstractNum w:abstractNumId="99">
    <w:nsid w:val="53299938"/>
    <w:multiLevelType w:val="hybridMultilevel"/>
    <w:lvl w:ilvl="0">
      <w:lvlJc w:val="left"/>
      <w:lvlText w:val="%1."/>
      <w:numFmt w:val="decimal"/>
      <w:start w:val="1"/>
    </w:lvl>
    <w:lvl w:ilvl="1">
      <w:lvlJc w:val="left"/>
      <w:lvlText w:val="(%2)"/>
      <w:numFmt w:val="lowerLetter"/>
      <w:start w:val="1"/>
    </w:lvl>
  </w:abstractNum>
  <w:abstractNum w:abstractNumId="100">
    <w:nsid w:val="1FBFE8E0"/>
    <w:multiLevelType w:val="hybridMultilevel"/>
    <w:lvl w:ilvl="0">
      <w:lvlJc w:val="left"/>
      <w:lvlText w:val="(%1)"/>
      <w:numFmt w:val="lowerLetter"/>
      <w:start w:val="2"/>
    </w:lvl>
  </w:abstractNum>
  <w:abstractNum w:abstractNumId="101">
    <w:nsid w:val="5092CA79"/>
    <w:multiLevelType w:val="hybridMultilevel"/>
    <w:lvl w:ilvl="0">
      <w:lvlJc w:val="left"/>
      <w:lvlText w:val="%1."/>
      <w:numFmt w:val="decimal"/>
      <w:start w:val="2"/>
    </w:lvl>
    <w:lvl w:ilvl="1">
      <w:lvlJc w:val="left"/>
      <w:lvlText w:val="(%2)"/>
      <w:numFmt w:val="lowerLetter"/>
      <w:start w:val="1"/>
    </w:lvl>
  </w:abstractNum>
  <w:abstractNum w:abstractNumId="102">
    <w:nsid w:val="1D545C4D"/>
    <w:multiLevelType w:val="hybridMultilevel"/>
    <w:lvl w:ilvl="0">
      <w:lvlJc w:val="left"/>
      <w:lvlText w:val="%1."/>
      <w:numFmt w:val="decimal"/>
      <w:start w:val="5"/>
    </w:lvl>
  </w:abstractNum>
  <w:abstractNum w:abstractNumId="103">
    <w:nsid w:val="59ADEA3D"/>
    <w:multiLevelType w:val="hybridMultilevel"/>
    <w:lvl w:ilvl="0">
      <w:lvlJc w:val="left"/>
      <w:lvlText w:val="%1."/>
      <w:numFmt w:val="decimal"/>
      <w:start w:val="10"/>
    </w:lvl>
    <w:lvl w:ilvl="1">
      <w:lvlJc w:val="left"/>
      <w:lvlText w:val="(%2)"/>
      <w:numFmt w:val="lowerLetter"/>
      <w:start w:val="1"/>
    </w:lvl>
  </w:abstractNum>
  <w:abstractNum w:abstractNumId="104">
    <w:nsid w:val="288F1A34"/>
    <w:multiLevelType w:val="hybridMultilevel"/>
    <w:lvl w:ilvl="0">
      <w:lvlJc w:val="left"/>
      <w:lvlText w:val="%1"/>
      <w:numFmt w:val="decimal"/>
      <w:start w:val="1"/>
    </w:lvl>
    <w:lvl w:ilvl="1">
      <w:lvlJc w:val="left"/>
      <w:lvlText w:val="(%2)"/>
      <w:numFmt w:val="lowerLetter"/>
      <w:start w:val="2"/>
    </w:lvl>
  </w:abstractNum>
  <w:abstractNum w:abstractNumId="105">
    <w:nsid w:val="2A155DBC"/>
    <w:multiLevelType w:val="hybridMultilevel"/>
    <w:lvl w:ilvl="0">
      <w:lvlJc w:val="left"/>
      <w:lvlText w:val="%1."/>
      <w:numFmt w:val="decimal"/>
      <w:start w:val="13"/>
    </w:lvl>
    <w:lvl w:ilvl="1">
      <w:lvlJc w:val="left"/>
      <w:lvlText w:val="(%2)"/>
      <w:numFmt w:val="lowerLetter"/>
      <w:start w:val="1"/>
    </w:lvl>
  </w:abstractNum>
  <w:abstractNum w:abstractNumId="106">
    <w:nsid w:val="1D9F6E5F"/>
    <w:multiLevelType w:val="hybridMultilevel"/>
    <w:lvl w:ilvl="0">
      <w:lvlJc w:val="left"/>
      <w:lvlText w:val="%1."/>
      <w:numFmt w:val="decimal"/>
      <w:start w:val="15"/>
    </w:lvl>
  </w:abstractNum>
  <w:abstractNum w:abstractNumId="107">
    <w:nsid w:val="97E1B4E"/>
    <w:multiLevelType w:val="hybridMultilevel"/>
    <w:lvl w:ilvl="0">
      <w:lvlJc w:val="left"/>
      <w:lvlText w:val="%1."/>
      <w:numFmt w:val="decimal"/>
      <w:start w:val="21"/>
    </w:lvl>
    <w:lvl w:ilvl="1">
      <w:lvlJc w:val="left"/>
      <w:lvlText w:val="(%2)"/>
      <w:numFmt w:val="lowerRoman"/>
      <w:start w:val="1"/>
    </w:lvl>
  </w:abstractNum>
  <w:abstractNum w:abstractNumId="108">
    <w:nsid w:val="51088277"/>
    <w:multiLevelType w:val="hybridMultilevel"/>
    <w:lvl w:ilvl="0">
      <w:lvlJc w:val="left"/>
      <w:lvlText w:val="%1."/>
      <w:numFmt w:val="decimal"/>
      <w:start w:val="23"/>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jpeg"/><Relationship Id="rId172" Type="http://schemas.openxmlformats.org/officeDocument/2006/relationships/image" Target="media/image152.png"/><Relationship Id="rId173" Type="http://schemas.openxmlformats.org/officeDocument/2006/relationships/image" Target="media/image153.jpeg"/><Relationship Id="rId174" Type="http://schemas.openxmlformats.org/officeDocument/2006/relationships/image" Target="media/image154.png"/><Relationship Id="rId175" Type="http://schemas.openxmlformats.org/officeDocument/2006/relationships/image" Target="media/image155.jpeg"/><Relationship Id="rId24" Type="http://schemas.openxmlformats.org/officeDocument/2006/relationships/hyperlink" Target="http://www.sec.gov/Archives/edgar/data/1053691/000143774923008519/ex_494918.htm" TargetMode="External"/><Relationship Id="rId25" Type="http://schemas.openxmlformats.org/officeDocument/2006/relationships/hyperlink" Target="http://www.sec.gov/Archives/edgar/data/1053691/000143774923007795/ex_488532.htm" TargetMode="External"/><Relationship Id="rId26" Type="http://schemas.openxmlformats.org/officeDocument/2006/relationships/hyperlink" Target="http://www.sec.gov/Archives/edgar/data/1053691/000143774923013739/ex_515232.htm" TargetMode="External"/><Relationship Id="rId27" Type="http://schemas.openxmlformats.org/officeDocument/2006/relationships/hyperlink" Target="http://www.sec.gov/Archives/edgar/data/1053691/000143774923013739/ex_515233.htm" TargetMode="External"/><Relationship Id="rId28" Type="http://schemas.openxmlformats.org/officeDocument/2006/relationships/hyperlink" Target="http://www.sec.gov/Archives/edgar/data/1053691/000143774923013739/ex_515234.htm" TargetMode="External"/><Relationship Id="rId29" Type="http://schemas.openxmlformats.org/officeDocument/2006/relationships/hyperlink" Target="http://www.sec.gov/Archives/edgar/data/1053691/000143774920019460/ex_203251.htm" TargetMode="External"/><Relationship Id="rId30" Type="http://schemas.openxmlformats.org/officeDocument/2006/relationships/hyperlink" Target="http://www.sec.gov/Archives/edgar/data/1053691/000143774923008519/ex_494898.htm" TargetMode="External"/><Relationship Id="rId31" Type="http://schemas.openxmlformats.org/officeDocument/2006/relationships/hyperlink" Target="http://www.sec.gov/Archives/edgar/data/1053691/000143774920020264/ex_205132.htm" TargetMode="External"/><Relationship Id="rId32" Type="http://schemas.openxmlformats.org/officeDocument/2006/relationships/hyperlink" Target="http://www.sec.gov/Archives/edgar/data/1053691/000143774923008519/ex_494900.htm" TargetMode="External"/><Relationship Id="rId33" Type="http://schemas.openxmlformats.org/officeDocument/2006/relationships/hyperlink" Target="http://www.sec.gov/Archives/edgar/data/1053691/000143774923013739/ex_515235.htm" TargetMode="External"/><Relationship Id="rId34" Type="http://schemas.openxmlformats.org/officeDocument/2006/relationships/hyperlink" Target="http://www.sec.gov/Archives/edgar/data/1053691/000143774923013739/ex_515228.htm" TargetMode="External"/><Relationship Id="rId35" Type="http://schemas.openxmlformats.org/officeDocument/2006/relationships/hyperlink" Target="http://www.sec.gov/Archives/edgar/data/1053691/000143774923013739/ex_515229.htm" TargetMode="External"/><Relationship Id="rId36" Type="http://schemas.openxmlformats.org/officeDocument/2006/relationships/hyperlink" Target="http://www.sec.gov/Archives/edgar/data/1053691/000143774923013739/ex_5152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2023-08-17T15:33:39Z</dcterms:created>
  <dcterms:modified xsi:type="dcterms:W3CDTF">2023-08-17T15:33:39Z</dcterms:modified>
</cp:coreProperties>
</file>