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crvo20260930_10q.htm"/>
      <w:bookmarkStart w:id="1" w:name="kscrvo20260930_10q"/>
      <w:bookmarkEnd w:id="0"/>
      <w:bookmarkEnd w:id="1"/>
      <w: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b/>
          <w:caps w:val="false"/>
          <w:smallCaps w:val="false"/>
          <w:sz w:val="20"/>
        </w:rPr>
        <w:t>Washington, D.C.</w:t>
      </w:r>
      <w:r>
        <w:rPr>
          <w:rFonts w:ascii="Times New Roman" w:hAnsi="Times New Roman"/>
          <w:caps w:val="false"/>
          <w:smallCaps w:val="false"/>
          <w:sz w:val="20"/>
        </w:rPr>
        <w:t>  </w:t>
      </w:r>
      <w:r>
        <w:rPr>
          <w:rFonts w:ascii="Times New Roman" w:hAnsi="Times New Roman"/>
          <w:b/>
          <w:caps w:val="false"/>
          <w:smallCaps w:val="false"/>
          <w:sz w:val="20"/>
        </w:rPr>
        <w:t>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(Mark one)</w:t>
      </w:r>
    </w:p>
    <w:tbl>
      <w:tblPr>
        <w:tblW w:w="10165" w:type="dxa"/>
        <w:jc w:val="left"/>
        <w:tblInd w:w="0" w:type="dxa"/>
        <w:tblLayout w:type="fixed"/>
        <w:tblCellMar>
          <w:top w:w="0" w:type="dxa"/>
          <w:left w:w="0" w:type="dxa"/>
          <w:bottom w:w="0" w:type="dxa"/>
          <w:right w:w="0" w:type="dxa"/>
        </w:tblCellMar>
      </w:tblPr>
      <w:tblGrid>
        <w:gridCol w:w="60"/>
        <w:gridCol w:w="230"/>
        <w:gridCol w:w="9875"/>
      </w:tblGrid>
      <w:tr>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2026</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230"/>
        <w:gridCol w:w="9860"/>
      </w:tblGrid>
      <w:tr>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 to 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001-37942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914775" cy="120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14775" cy="1209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3200"/>
        <w:gridCol w:w="905"/>
      </w:tblGrid>
      <w:t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tc>
        <w:tc>
          <w:tcPr>
            <w:tcW w:w="905" w:type="dxa"/>
            <w:tcBorders/>
            <w:vAlign w:val="center"/>
          </w:tcPr>
          <w:p>
            <w:pPr>
              <w:pStyle w:val="TableContents"/>
              <w:bidi w:val="0"/>
              <w:spacing w:before="0" w:after="283"/>
              <w:jc w:val="left"/>
            </w:pPr>
            <w:r>
              <w:t> </w:t>
            </w:r>
          </w:p>
        </w:tc>
      </w:tr>
      <w:t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Massachusetts</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 xml:space="preserve">(617) 744-4400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firstLine="180"/>
        <w:jc w:val="left"/>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3500"/>
        <w:gridCol w:w="1610"/>
        <w:gridCol w:w="3695"/>
      </w:tblGrid>
      <w:tr>
        <w:tc>
          <w:tcPr>
            <w:tcW w:w="35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6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90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Accelerated filer ☐</w:t>
            </w:r>
          </w:p>
        </w:tc>
      </w:tr>
      <w:t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c>
          <w:tcPr>
            <w:tcW w:w="2045" w:type="dxa"/>
            <w:tcBorders/>
            <w:vAlign w:val="center"/>
          </w:tcPr>
          <w:p>
            <w:pPr>
              <w:pStyle w:val="TableContents"/>
              <w:bidi w:val="0"/>
              <w:spacing w:before="0" w:after="283"/>
              <w:jc w:val="left"/>
            </w:pPr>
            <w:r>
              <w:t> </w:t>
            </w:r>
          </w:p>
        </w:tc>
        <w:tc>
          <w:tcPr>
            <w:tcW w:w="24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230"/>
        <w:gridCol w:w="9860"/>
      </w:tblGrid>
      <w:tr>
        <w:tc>
          <w:tcPr>
            <w:tcW w:w="60" w:type="dxa"/>
            <w:tcBorders/>
            <w:vAlign w:val="center"/>
          </w:tcPr>
          <w:p>
            <w:pPr>
              <w:pStyle w:val="TableContents"/>
              <w:bidi w:val="0"/>
              <w:spacing w:before="0" w:after="283"/>
              <w:jc w:val="left"/>
            </w:pPr>
            <w: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9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900"/>
        <w:jc w:val="left"/>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at November 4, 2026 was 15,128,540 shares.</w:t>
      </w:r>
    </w:p>
    <w:p>
      <w:pPr>
        <w:pStyle w:val="TextBody"/>
        <w:bidi w:val="0"/>
        <w:spacing w:before="0" w:after="0"/>
        <w:ind w:left="360" w:right="0" w:firstLine="90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jc w:val="left"/>
      </w:pPr>
      <w: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CervoMed Inc. </w:t>
      </w:r>
    </w:p>
    <w:tbl>
      <w:tblPr>
        <w:tblW w:w="10205" w:type="dxa"/>
        <w:jc w:val="left"/>
        <w:tblInd w:w="0" w:type="dxa"/>
        <w:tblLayout w:type="fixed"/>
        <w:tblCellMar>
          <w:top w:w="0" w:type="dxa"/>
          <w:left w:w="0" w:type="dxa"/>
          <w:bottom w:w="0" w:type="dxa"/>
          <w:right w:w="0" w:type="dxa"/>
        </w:tblCellMar>
      </w:tblPr>
      <w:tblGrid>
        <w:gridCol w:w="662"/>
        <w:gridCol w:w="8861"/>
        <w:gridCol w:w="682"/>
      </w:tblGrid>
      <w:tr>
        <w:tc>
          <w:tcPr>
            <w:tcW w:w="662" w:type="dxa"/>
            <w:tcBorders/>
            <w:vAlign w:val="center"/>
          </w:tcPr>
          <w:p>
            <w:pPr>
              <w:pStyle w:val="TableContents"/>
              <w:bidi w:val="0"/>
              <w:spacing w:before="0" w:after="283"/>
              <w:jc w:val="left"/>
            </w:pPr>
            <w:r>
              <w:t> </w:t>
            </w:r>
          </w:p>
        </w:tc>
        <w:tc>
          <w:tcPr>
            <w:tcW w:w="8861" w:type="dxa"/>
            <w:tcBorders/>
            <w:vAlign w:val="center"/>
          </w:tcPr>
          <w:p>
            <w:pPr>
              <w:pStyle w:val="TableContents"/>
              <w:bidi w:val="0"/>
              <w:spacing w:before="0" w:after="283"/>
              <w:jc w:val="left"/>
            </w:pPr>
            <w:r>
              <w:t> </w:t>
            </w:r>
          </w:p>
        </w:tc>
        <w:tc>
          <w:tcPr>
            <w:tcW w:w="682" w:type="dxa"/>
            <w:tcBorders/>
            <w:vAlign w:val="center"/>
          </w:tcPr>
          <w:p>
            <w:pPr>
              <w:pStyle w:val="TableContents"/>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 No.</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w:t>
            </w:r>
          </w:p>
        </w:tc>
        <w:tc>
          <w:tcPr>
            <w:tcW w:w="8861" w:type="dxa"/>
            <w:tcBorders/>
            <w:shd w:fill="CCEEFF" w:val="clear"/>
            <w:vAlign w:val="center"/>
          </w:tcPr>
          <w:p>
            <w:pPr>
              <w:pStyle w:val="TableContents"/>
              <w:bidi w:val="0"/>
              <w:spacing w:before="0" w:after="283"/>
              <w:jc w:val="left"/>
            </w:pPr>
            <w:r>
              <w:t>PART I – FINANCIAL INFORMATION</w:t>
            </w:r>
          </w:p>
        </w:tc>
        <w:tc>
          <w:tcPr>
            <w:tcW w:w="682" w:type="dxa"/>
            <w:tcBorders/>
            <w:shd w:fill="CCEEFF" w:val="clear"/>
            <w:vAlign w:val="center"/>
          </w:tcPr>
          <w:p>
            <w:pPr>
              <w:pStyle w:val="TableContents"/>
              <w:bidi w:val="0"/>
              <w:spacing w:before="0" w:after="283"/>
              <w:jc w:val="right"/>
            </w:pPr>
            <w:r>
              <w:t>1</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1.     FINANCIAL STATEMENTS </w:t>
            </w:r>
          </w:p>
        </w:tc>
        <w:tc>
          <w:tcPr>
            <w:tcW w:w="682" w:type="dxa"/>
            <w:tcBorders/>
            <w:shd w:fill="CCEEFF" w:val="clear"/>
            <w:vAlign w:val="center"/>
          </w:tcPr>
          <w:p>
            <w:pPr>
              <w:pStyle w:val="TableContents"/>
              <w:bidi w:val="0"/>
              <w:spacing w:before="0" w:after="283"/>
              <w:jc w:val="right"/>
            </w:pPr>
            <w:r>
              <w:t>1</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2.     MANAGEMENT’S DISCUSSION AND ANALYSIS OF FINANCIAL CONDITION AND RESULTS OF OPERATIONS </w:t>
            </w:r>
          </w:p>
        </w:tc>
        <w:tc>
          <w:tcPr>
            <w:tcW w:w="682" w:type="dxa"/>
            <w:tcBorders/>
            <w:shd w:fill="CCEEFF" w:val="clear"/>
            <w:vAlign w:val="center"/>
          </w:tcPr>
          <w:p>
            <w:pPr>
              <w:pStyle w:val="TableContents"/>
              <w:bidi w:val="0"/>
              <w:spacing w:before="0" w:after="283"/>
              <w:jc w:val="right"/>
            </w:pPr>
            <w:r>
              <w:t>21</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3.     QUANTITATIVE AND QUALITATIVE DISCLOSURES ABOUT MARKET RISK </w:t>
            </w:r>
          </w:p>
        </w:tc>
        <w:tc>
          <w:tcPr>
            <w:tcW w:w="682" w:type="dxa"/>
            <w:tcBorders/>
            <w:shd w:fill="CCEEFF" w:val="clear"/>
            <w:vAlign w:val="center"/>
          </w:tcPr>
          <w:p>
            <w:pPr>
              <w:pStyle w:val="TableContents"/>
              <w:bidi w:val="0"/>
              <w:spacing w:before="0" w:after="283"/>
              <w:jc w:val="right"/>
            </w:pPr>
            <w:r>
              <w:t>32</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4.     CONTROLS AND PROCEDURES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II</w:t>
            </w:r>
          </w:p>
        </w:tc>
        <w:tc>
          <w:tcPr>
            <w:tcW w:w="88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II – OTHER INFORMATION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1.     LEGAL PROCEEDINGS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1A.  RISK FACTORS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2.     UNREGISTERED SALES OF EQUITY SECURITIES AND USE OF PROCEEDS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3.     DEFAULTS UPON SENIOR SECURITIES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4.     MINE SAFETY DISCLOSURES</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5.     OTHER INFORMATION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6.     EXHIBITS</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c>
          <w:tcPr>
            <w:tcW w:w="662" w:type="dxa"/>
            <w:tcBorders/>
            <w:shd w:fill="FFFFFF" w:val="clear"/>
            <w:vAlign w:val="center"/>
          </w:tcPr>
          <w:p>
            <w:pPr>
              <w:pStyle w:val="TableContents"/>
              <w:bidi w:val="0"/>
              <w:spacing w:before="0" w:after="283"/>
              <w:jc w:val="left"/>
            </w:pPr>
            <w:r>
              <w:t> </w:t>
            </w:r>
          </w:p>
        </w:tc>
        <w:tc>
          <w:tcPr>
            <w:tcW w:w="8861" w:type="dxa"/>
            <w:tcBorders/>
            <w:shd w:fill="FFFFFF" w:val="clear"/>
            <w:vAlign w:val="center"/>
          </w:tcPr>
          <w:p>
            <w:pPr>
              <w:pStyle w:val="TableContents"/>
              <w:bidi w:val="0"/>
              <w:spacing w:before="0" w:after="283"/>
              <w:jc w:val="left"/>
            </w:pPr>
            <w:r>
              <w:t> </w:t>
            </w:r>
          </w:p>
        </w:tc>
        <w:tc>
          <w:tcPr>
            <w:tcW w:w="682" w:type="dxa"/>
            <w:tcBorders/>
            <w:shd w:fill="FFFFFF" w:val="clear"/>
            <w:vAlign w:val="center"/>
          </w:tcPr>
          <w:p>
            <w:pPr>
              <w:pStyle w:val="TableContents"/>
              <w:bidi w:val="0"/>
              <w:spacing w:before="0" w:after="283"/>
              <w:jc w:val="left"/>
            </w:pPr>
            <w:r>
              <w:t> </w:t>
            </w:r>
          </w:p>
        </w:tc>
      </w:tr>
      <w:tr>
        <w:tc>
          <w:tcPr>
            <w:tcW w:w="9523"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Signatures</w:t>
            </w:r>
          </w:p>
        </w:tc>
        <w:tc>
          <w:tcPr>
            <w:tcW w:w="682" w:type="dxa"/>
            <w:tcBorders/>
            <w:shd w:fill="CCEEFF" w:val="clear"/>
            <w:vAlign w:val="center"/>
          </w:tcPr>
          <w:p>
            <w:pPr>
              <w:pStyle w:val="TableContents"/>
              <w:bidi w:val="0"/>
              <w:spacing w:before="0" w:after="283"/>
              <w:jc w:val="right"/>
            </w:pPr>
            <w: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INTRODUCTORY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Regarding Company References and Other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context otherwise requires, all references in this Quarterly Report on Form 10-Q (the "Quarterly Report") to (i) “CervoMed,” the “Company,” “we,” “our,” or “us,” refer to the business of CervoMed Inc. for all dates and periods subsequent to (and including) August 16, 2023 and to the business of EIP, our wholly-owned subsidiary and the accounting acquirer in the Merger, for all dates and periods prior to August 16, 2023 and (ii) “common stock” refer to our common stock, par value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also used several other defined terms in this Quarterly Report, many of which are explained or defined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2"/>
        <w:gridCol w:w="8663"/>
      </w:tblGrid>
      <w:tr>
        <w:tc>
          <w:tcPr>
            <w:tcW w:w="1542"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w:t>
            </w:r>
          </w:p>
        </w:tc>
        <w:tc>
          <w:tcPr>
            <w:tcW w:w="866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2015 Equity Plan</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2015 Equity Incentive Plan, as amended</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2018 Plan</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2018 Employee, Director and Consultant Equity Incentive Plan, as amended</w:t>
            </w:r>
          </w:p>
        </w:tc>
      </w:tr>
      <w:tr>
        <w:tc>
          <w:tcPr>
            <w:tcW w:w="1542" w:type="dxa"/>
            <w:tcBorders/>
            <w:vAlign w:val="center"/>
          </w:tcPr>
          <w:p>
            <w:pPr>
              <w:pStyle w:val="TableContents"/>
              <w:bidi w:val="0"/>
              <w:spacing w:before="0" w:after="283"/>
              <w:jc w:val="left"/>
            </w:pPr>
            <w:r>
              <w:t>2024 Private Placement</w:t>
            </w:r>
          </w:p>
        </w:tc>
        <w:tc>
          <w:tcPr>
            <w:tcW w:w="8663" w:type="dxa"/>
            <w:tcBorders/>
            <w:vAlign w:val="center"/>
          </w:tcPr>
          <w:p>
            <w:pPr>
              <w:pStyle w:val="TableContents"/>
              <w:bidi w:val="0"/>
              <w:spacing w:before="0" w:after="283"/>
              <w:jc w:val="both"/>
            </w:pPr>
            <w:r>
              <w:t>our private placement, completed on April 1, 2024, of an aggregate of 2,532,285 units, each consisting of (i) (A) one share of common stock or (B) one Pre-Funded Warrant in lieu thereof and (ii) one Series A Warrant, for aggregate gross proceeds of up to approximately $149.4 million</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 Equity Plan</w:t>
            </w:r>
          </w:p>
        </w:tc>
        <w:tc>
          <w:tcPr>
            <w:tcW w:w="86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CervoMed Inc. 2025 Equity Incentive Plan</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 Pre-Funded Warrants</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previously outstanding pre-funded warrants, each to purchase one share of common stock at a purchase price of $0.001 per share, issued in connection with the 2026 Private Placement</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 Private Placement</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private placement of an aggregate of 3,360,377 units, each consisting of (i) (A) one share of common stock or (B) one 2026 Pre-Funded Warrant in lieu thereof, (ii) one Series B Warrant, and (iii) one Series C Warrant, completed on June 11, 2026</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 Registered Direct Offering</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registered direct offering of an aggregate of 2,500,000 shares of common stock, completed on June 22, 2026</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401(k) Plan</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401(k) Defined Contribution Plan</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Alzheimer’s Disease</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ALS</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amyotrophic lateral sclerosis</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Report</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Annual Report on Form 10-K for the year ended December 31, 2025, filed with the SEC on March 13, 2026</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ASC</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 Codification of the FASB</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ASU</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Standards Update</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board of directors</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CDMO</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development and manufacturing organization</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CMC</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chemistry, manufacturing and controls</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CODM</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operating decision maker</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CRO</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research organization</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dementia with Lewy bodies</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 without AD co-pathology</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 without concomitant AD-related pathology. May also be referred to as "pure" DLB</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EIP</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EIP Pharma, Inc., a Delaware corporation and our wholly-owned subsidiary</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Exchange Act</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Exchange Act of 1934, as amended</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FASB</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Accounting Standards Board</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FDA</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Food and Drug Administration</w:t>
            </w:r>
          </w:p>
        </w:tc>
      </w:tr>
      <w:tr>
        <w:tc>
          <w:tcPr>
            <w:tcW w:w="15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w:t>
            </w:r>
          </w:p>
        </w:tc>
        <w:tc>
          <w:tcPr>
            <w:tcW w:w="8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technology</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889"/>
        <w:gridCol w:w="8316"/>
      </w:tblGrid>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Merger</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merger of Dawn Merger Sub Inc. with and into EIP, with EIP surviving as a wholly-owned subsidiary of the Company, completed on August 16, 2023, pursuant to the Merger Agreement</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Merger Agreement</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Agreement and Plan of Merger, dated March 30, 2023, by and among Diffusion Pharmaceuticals Inc., Dawn Merger Sub Inc., and EIP</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nfvPPA</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nonfluent variant primary progressive aphasia, a subtype of frontotemporal dementia</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NIA</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National Institute on Aging of the National Institutes of Health</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NIA Grant</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$21.3 million grant awarded to us by the NIA to support the RewinD-LB Trial, $21.0 million of which was awarded in January 2023 and an additional $0.3 million of which was awarded in August 2024</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p38α</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p38 mitogen-activated protein kinase alpha</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Placement Agent Warrants</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to purchase an aggregate of 150,000 shares of common stock at a purchase price of $5.00 per share issued to the placement agent in connection with the 2026 Registered Direct Offering</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RAS</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Recovery After Stroke</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Regulation S-K</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Regulation S-K promulgated under the Securities Act</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Restore Trial</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ongoing Phase 2a clinical trial evaluating neflamapimod for the treatment of patients recovering from ischemic stroke, which the Company initiated in the second quarter of 2025</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RewinD-LB Trial</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Phase 2b clinical trial evaluating neflamapimod for the treatment of patients with DLB, from which we announced final results in October 2025</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ROU</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Agreement</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Agreement, dated May 12, 2025, by and between the Company and Leerink Partners LLC</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Securities and Exchange Commission</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Act</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Act of 1933, as amended</w:t>
            </w:r>
          </w:p>
        </w:tc>
      </w:tr>
      <w:tr>
        <w:tc>
          <w:tcPr>
            <w:tcW w:w="1889" w:type="dxa"/>
            <w:tcBorders/>
            <w:vAlign w:val="center"/>
          </w:tcPr>
          <w:p>
            <w:pPr>
              <w:pStyle w:val="TableContents"/>
              <w:bidi w:val="0"/>
              <w:spacing w:before="0" w:after="283"/>
              <w:jc w:val="left"/>
            </w:pPr>
            <w:r>
              <w:t>Securities Purchase Agreement</w:t>
            </w:r>
          </w:p>
        </w:tc>
        <w:tc>
          <w:tcPr>
            <w:tcW w:w="8316" w:type="dxa"/>
            <w:tcBorders/>
            <w:vAlign w:val="center"/>
          </w:tcPr>
          <w:p>
            <w:pPr>
              <w:pStyle w:val="TableContents"/>
              <w:bidi w:val="0"/>
              <w:spacing w:before="0" w:after="283"/>
              <w:jc w:val="left"/>
            </w:pPr>
            <w:r>
              <w:t>the securities purchase agreement, dated June 9, 2026, by and among the Company and each of the investors party thereto, entered into in connection with the 2026 Private Placement</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Series A Warrants</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to purchase an aggregate of 2,532,285 shares of common stock at a purchase price of $39.24 per share issued in connection with the 2024 Private Placement</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Series B Warrants</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to purchase an aggregate of 3,360,377 shares of common stock at a purchase price of $3.32 per share issued in connection with the 2026 Private Placement</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Series C Warrants</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to purchase an aggregate of 3,360,377 shares of common stock at a purchase price of $3.14 per share issued in connection with the 2026 Private Placement</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 of America</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GAAP</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generally accepted accounting principles in the US</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 Pharmaceuticals Incorporated</w:t>
            </w:r>
          </w:p>
        </w:tc>
      </w:tr>
      <w:tr>
        <w:tc>
          <w:tcPr>
            <w:tcW w:w="1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 Agreement</w:t>
            </w:r>
          </w:p>
        </w:tc>
        <w:tc>
          <w:tcPr>
            <w:tcW w:w="8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Option and License Agreement, dated as of August 27, 2012, by and between EIP Pharma LLC and Vertex,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Quarterly Report (including, for purposes of this Note Regarding Forward-Looking Statements, any information or documents incorporated herein by reference) includes express and implied forward-looking statements. By their nature, forward-looking statements involve risks and uncertainties because they relate to events, competitive dynamics and industry change, and depend on the economic circumstances that may or may not occur in the future or may occur on longer or shorter timelines than anticipated. Although we believe that we have a reasonable basis for each forward-looking statement contained in this Quarterly Report, we caution you that forward-looking statements are not guarantees of future performance and that our actual results of operations, financial condition, liquidity, and prospects may differ materially from the forward-looking statements contained in this Quarterly Report. In addition, even if our results of operations, financial condition, liquidity, and prospects are consistent with the forward-looking statements contained in this Quarterly Report, they may not be predictive of actual results or reflect unanticipated developments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lineRule="auto" w:line="288"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Forward-looking statements appear in a number of places throughout this Quarterly Report. We may, in some cases, use terms such as “believes,” “estimates,” “anticipates,” “expects,” “plans,” “aims,” “seeks,” “intends,” “may,” “might,” “could,” “will,” “should,” “approximately,” “potential,” “target,” “project,” “contemplate,” “predict,” “forecast,” “continue,” or other words that convey uncertainty of future events or outcomes to identify these forward-looking statements. Forward-looking statements also include statements regarding our intentions, beliefs, projections, outlook, analyses or expectations concerning, among other things:2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cash balances, our ability to obtain additional financing in the future, and our ability to continue as a going concern;</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enter into a partnership to advance neflamapimod into a Phase 3 clinical trial in patients with DLB in a timely manner, on acceptable terms, or at all;</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and timing of our ongoing and planned clinical trials and nonclinical studies, including our ability to enroll participants in our studies at anticipated rates, our ability to manufacture an adequate amount of drug supply for our studies, and changes to our drug candidates' formulations;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and maintaining intellectual property protection for our current or future product candidates and our proprietary technology;</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performance of third parties, including CROs, CDMOs, manufacturers, suppliers, and outside consultants, to whom we outsource certain operations, staff and other functions;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and maintain regulatory approval of our current or future product candidates and, if approved, our products, including the labeling under any approval we may obtain;</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plans and ability to develop and commercialize our current or future product candidates and the outcomes of our research and development activities;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estimates regarding expenses, future revenues, capital requirements, and needs for additional financing;</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future obligations under the Vertex Agreement;</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recruit or retain key scientific or management personnel or to retain our executive officers;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accuracy of our estimates of the size and characteristics of the potential markets for our current or future product candidates, the rate and degree of market acceptance of any of our current or future product candidates that may be approved in the future, and our ability to serve those markets;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products that are, or may become, available which also target the potential markets for our current or future product candidates;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operate our business without infringing the intellectual property rights of others and the potential for others to infringe upon our intellectual property rights;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significant breakdown, infiltration, or interruption of our IT systems and infrastructure;</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recently enacted and future legislation related to the healthcare system;</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regulatory developments in the US, European Union, and other foreign jurisdictions;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satisfy the continued listing requirements of the Nasdaq or any other exchange on which our securities may trade in the future;</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uncertainties related to general economic, political, business, industry, and market conditions; and</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and uncertainties, including those discussed under the heading "Risk Factors" herein and in our other public filings.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iv</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these and other factors, known and unknown, actual results could differ materially from our intentions, beliefs, projections, outlook, analyses, or expectations expressed in any forward-looking statements in this Quarterly Report. Accordingly, we cannot assure you that the forward-looking statements contained in this Quarterly Report will prove to be accurate or that any such inaccuracy will not be material. You should also understand that it is not possible to predict or identify all such factors, and you should not consider any such list to be a complete set of all potential risks or uncertainties. In light of the foregoing and the significant uncertainties in these forward-looking statements, you should not regard these statements as a representation or warranty by us or any other person that we will achieve our objectives and plans in any specified time frame, or at all. For all forward-looking statements, we claim the protection of the safe harbor for forward-looking statements contained in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forward-looking statements that we make in this Quarterly Report speak only as of the date of such statement, and, except as required by applicable law or by the rules and regulations of the SEC, we undertake no obligation to update such statements to reflect events or circumstances after the date of this Quarterly Report or to reflect the occurrence of unanticipated events. Comparisons of current and any prior period results are not intended to express any ongoing or future trends or indications of future performance, unless explicitly expressed as such, and should only be viewed as historical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Regarding Trademarks, Trade Names, and Service 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Quarterly Report includes trademarks, trade names, and service marks owned by us or other companies. All trademarks, service marks and trade names included in this Quarterly Report are the property of their respective owners. To the extent any such terms appear without the trade name, trademark, or service mark notice, such presentation is for convenience only and should not be construed as being used in a descriptive or generic sense.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v</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b/>
          <w:caps w:val="false"/>
          <w:smallCaps w:val="false"/>
          <w:sz w:val="20"/>
        </w:rPr>
        <w:t xml:space="preserve">PART I </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p>
    <w:p>
      <w:pPr>
        <w:pStyle w:val="TextBody"/>
        <w:bidi w:val="0"/>
        <w:spacing w:before="0" w:after="283"/>
        <w:jc w:val="left"/>
      </w:pPr>
      <w: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40"/>
        <w:gridCol w:w="2480"/>
      </w:tblGrid>
      <w:t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w:t>
            </w:r>
          </w:p>
        </w:tc>
        <w:tc>
          <w:tcPr>
            <w:tcW w:w="24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5"/>
        <w:gridCol w:w="60"/>
        <w:gridCol w:w="125"/>
        <w:gridCol w:w="1115"/>
        <w:gridCol w:w="80"/>
        <w:gridCol w:w="60"/>
        <w:gridCol w:w="125"/>
        <w:gridCol w:w="1055"/>
        <w:gridCol w:w="80"/>
      </w:tblGrid>
      <w:tr>
        <w:tc>
          <w:tcPr>
            <w:tcW w:w="750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30, 2026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5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1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5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6,059,804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8,235,469</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13,538,010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12,628,970</w:t>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1,303,473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1,267,005</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offering costs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428,856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320,581</w:t>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receivable</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426,993</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21,330,143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22,879,018</w:t>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21,330,143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22,879,018</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1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5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5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1,616,669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1,454,118</w:t>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2,357,557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3,201,999</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3,974,226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4,656,117</w:t>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3,974,226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4,656,117</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8)</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1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5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A preferred stock $0.001 par value: 30,000,000 authorized at September 30, 2026 and December 31, 2025; 0 shares issued and outstanding at September 30, 2026 and December 31, 2025</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1,000,000,000 shares authorized at September 30, 2026 and December 31, 2025; 15,119,096 and 9,252,719 shares issued and outstanding at September 30, 2026 and December 31, 2025, respectively</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135,487,775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115,905,684</w:t>
            </w:r>
          </w:p>
        </w:tc>
        <w:tc>
          <w:tcPr>
            <w:tcW w:w="80" w:type="dxa"/>
            <w:tcBorders/>
            <w:shd w:fill="FFFFFF" w:val="clear"/>
            <w:vAlign w:val="center"/>
          </w:tcPr>
          <w:p>
            <w:pPr>
              <w:pStyle w:val="TableContents"/>
              <w:bidi w:val="0"/>
              <w:spacing w:before="0" w:after="283"/>
              <w:jc w:val="left"/>
            </w:pPr>
            <w:r>
              <w:t> </w:t>
            </w:r>
          </w:p>
        </w:tc>
      </w:tr>
      <w:tr>
        <w:tc>
          <w:tcPr>
            <w:tcW w:w="7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(118,129,096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(97,697,851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5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17,355,917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18,222,901</w:t>
            </w:r>
          </w:p>
        </w:tc>
        <w:tc>
          <w:tcPr>
            <w:tcW w:w="80" w:type="dxa"/>
            <w:tcBorders/>
            <w:shd w:fill="CCEEFF" w:val="clear"/>
            <w:vAlign w:val="center"/>
          </w:tcPr>
          <w:p>
            <w:pPr>
              <w:pStyle w:val="TableContents"/>
              <w:bidi w:val="0"/>
              <w:spacing w:before="0" w:after="283"/>
              <w:jc w:val="left"/>
            </w:pPr>
            <w:r>
              <w:t> </w:t>
            </w:r>
          </w:p>
        </w:tc>
      </w:tr>
      <w:tr>
        <w:tc>
          <w:tcPr>
            <w:tcW w:w="750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21,330,143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22,879,018</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(unaudited)</w:t>
      </w:r>
    </w:p>
    <w:tbl>
      <w:tblPr>
        <w:tblW w:w="9470" w:type="dxa"/>
        <w:jc w:val="left"/>
        <w:tblInd w:w="0" w:type="dxa"/>
        <w:tblLayout w:type="fixed"/>
        <w:tblCellMar>
          <w:top w:w="0" w:type="dxa"/>
          <w:left w:w="0" w:type="dxa"/>
          <w:bottom w:w="0" w:type="dxa"/>
          <w:right w:w="0" w:type="dxa"/>
        </w:tblCellMar>
      </w:tblPr>
      <w:tblGrid>
        <w:gridCol w:w="4535"/>
        <w:gridCol w:w="60"/>
        <w:gridCol w:w="125"/>
        <w:gridCol w:w="950"/>
        <w:gridCol w:w="80"/>
        <w:gridCol w:w="60"/>
        <w:gridCol w:w="125"/>
        <w:gridCol w:w="905"/>
        <w:gridCol w:w="80"/>
        <w:gridCol w:w="60"/>
        <w:gridCol w:w="125"/>
        <w:gridCol w:w="1010"/>
        <w:gridCol w:w="80"/>
        <w:gridCol w:w="60"/>
        <w:gridCol w:w="125"/>
        <w:gridCol w:w="1010"/>
        <w:gridCol w:w="80"/>
      </w:tblGrid>
      <w:tr>
        <w:tc>
          <w:tcPr>
            <w:tcW w:w="453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2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pPr>
            <w:r>
              <w:t> </w:t>
            </w:r>
          </w:p>
        </w:tc>
      </w:tr>
      <w:tr>
        <w:tc>
          <w:tcPr>
            <w:tcW w:w="453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r>
      <w:t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3,997,784</w:t>
            </w:r>
          </w:p>
        </w:tc>
        <w:tc>
          <w:tcPr>
            <w:tcW w:w="80" w:type="dxa"/>
            <w:tcBorders/>
            <w:shd w:fill="CCEEFF" w:val="clear"/>
            <w:vAlign w:val="center"/>
          </w:tcPr>
          <w:p>
            <w:pPr>
              <w:pStyle w:val="TableContents"/>
              <w:bidi w:val="0"/>
              <w:spacing w:before="0" w:after="283"/>
              <w:jc w:val="left"/>
            </w:pPr>
            <w:r>
              <w:t> </w:t>
            </w:r>
          </w:p>
        </w:tc>
      </w:tr>
      <w:t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1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1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4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3,678,517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6,040,442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13,135,708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15,986,865</w:t>
            </w:r>
          </w:p>
        </w:tc>
        <w:tc>
          <w:tcPr>
            <w:tcW w:w="80" w:type="dxa"/>
            <w:tcBorders/>
            <w:shd w:fill="CCEEFF" w:val="clear"/>
            <w:vAlign w:val="center"/>
          </w:tcPr>
          <w:p>
            <w:pPr>
              <w:pStyle w:val="TableContents"/>
              <w:bidi w:val="0"/>
              <w:spacing w:before="0" w:after="283"/>
              <w:jc w:val="left"/>
            </w:pPr>
            <w:r>
              <w:t> </w:t>
            </w:r>
          </w:p>
        </w:tc>
      </w:tr>
      <w:tr>
        <w:tc>
          <w:tcPr>
            <w:tcW w:w="4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2,426,433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2,326,326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7,758,317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7,974,277</w:t>
            </w:r>
          </w:p>
        </w:tc>
        <w:tc>
          <w:tcPr>
            <w:tcW w:w="80" w:type="dxa"/>
            <w:tcBorders/>
            <w:shd w:fill="FFFFFF" w:val="clear"/>
            <w:vAlign w:val="center"/>
          </w:tcPr>
          <w:p>
            <w:pPr>
              <w:pStyle w:val="TableContents"/>
              <w:bidi w:val="0"/>
              <w:spacing w:before="0" w:after="283"/>
              <w:jc w:val="left"/>
            </w:pPr>
            <w:r>
              <w:t> </w:t>
            </w:r>
          </w:p>
        </w:tc>
      </w:tr>
      <w:t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6,104,950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8,366,768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20,894,025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23,961,142</w:t>
            </w:r>
          </w:p>
        </w:tc>
        <w:tc>
          <w:tcPr>
            <w:tcW w:w="80" w:type="dxa"/>
            <w:tcBorders/>
            <w:shd w:fill="CCEEFF" w:val="clear"/>
            <w:vAlign w:val="center"/>
          </w:tcPr>
          <w:p>
            <w:pPr>
              <w:pStyle w:val="TableContents"/>
              <w:bidi w:val="0"/>
              <w:spacing w:before="0" w:after="283"/>
              <w:jc w:val="left"/>
            </w:pPr>
            <w:r>
              <w:t> </w:t>
            </w:r>
          </w:p>
        </w:tc>
      </w:tr>
      <w:tr>
        <w:tc>
          <w:tcPr>
            <w:tcW w:w="4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(6,104,950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(8,044,199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(20,894,025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(19,963,358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210,489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318,787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462,773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1,095,899</w:t>
            </w:r>
          </w:p>
        </w:tc>
        <w:tc>
          <w:tcPr>
            <w:tcW w:w="80" w:type="dxa"/>
            <w:tcBorders/>
            <w:shd w:fill="CCEEFF" w:val="clear"/>
            <w:vAlign w:val="center"/>
          </w:tcPr>
          <w:p>
            <w:pPr>
              <w:pStyle w:val="TableContents"/>
              <w:bidi w:val="0"/>
              <w:spacing w:before="0" w:after="283"/>
              <w:jc w:val="left"/>
            </w:pPr>
            <w:r>
              <w:t> </w:t>
            </w:r>
          </w:p>
        </w:tc>
      </w:tr>
      <w:t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317,560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462,780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1,084,281</w:t>
            </w:r>
          </w:p>
        </w:tc>
        <w:tc>
          <w:tcPr>
            <w:tcW w:w="80" w:type="dxa"/>
            <w:tcBorders/>
            <w:shd w:fill="FFFFFF" w:val="clear"/>
            <w:vAlign w:val="center"/>
          </w:tcPr>
          <w:p>
            <w:pPr>
              <w:pStyle w:val="TableContents"/>
              <w:bidi w:val="0"/>
              <w:spacing w:before="0" w:after="283"/>
              <w:jc w:val="left"/>
            </w:pPr>
            <w:r>
              <w:t> </w:t>
            </w:r>
          </w:p>
        </w:tc>
      </w:tr>
      <w:t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(5,895,431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(7,726,639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(20,431,245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(18,879,077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 information: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1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1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of common stock, basic and diluted</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basic and diluted</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15,119,096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9,252,719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11,562,112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8,970,668</w:t>
            </w:r>
          </w:p>
        </w:tc>
        <w:tc>
          <w:tcPr>
            <w:tcW w:w="80" w:type="dxa"/>
            <w:tcBorders/>
            <w:shd w:fill="FFFFFF" w:val="clear"/>
            <w:vAlign w:val="center"/>
          </w:tcPr>
          <w:p>
            <w:pPr>
              <w:pStyle w:val="TableContents"/>
              <w:bidi w:val="0"/>
              <w:spacing w:before="0" w:after="283"/>
              <w:jc w:val="left"/>
            </w:pPr>
            <w:r>
              <w:t> </w:t>
            </w:r>
          </w:p>
        </w:tc>
      </w:tr>
      <w:t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gain (loss) on marketable securities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comprehensive loss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(5,913,418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(7,720,032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(20,454,942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(18,929,450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2"/>
        <w:gridCol w:w="60"/>
        <w:gridCol w:w="60"/>
        <w:gridCol w:w="950"/>
        <w:gridCol w:w="60"/>
        <w:gridCol w:w="60"/>
        <w:gridCol w:w="125"/>
        <w:gridCol w:w="590"/>
        <w:gridCol w:w="60"/>
        <w:gridCol w:w="60"/>
        <w:gridCol w:w="125"/>
        <w:gridCol w:w="1055"/>
        <w:gridCol w:w="60"/>
        <w:gridCol w:w="60"/>
        <w:gridCol w:w="213"/>
        <w:gridCol w:w="1114"/>
        <w:gridCol w:w="80"/>
        <w:gridCol w:w="60"/>
        <w:gridCol w:w="125"/>
        <w:gridCol w:w="1115"/>
        <w:gridCol w:w="80"/>
        <w:gridCol w:w="60"/>
        <w:gridCol w:w="133"/>
        <w:gridCol w:w="1026"/>
        <w:gridCol w:w="82"/>
      </w:tblGrid>
      <w:tr>
        <w:tc>
          <w:tcPr>
            <w:tcW w:w="279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271"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 Period Ended September 30, 2026</w:t>
            </w:r>
          </w:p>
        </w:tc>
        <w:tc>
          <w:tcPr>
            <w:tcW w:w="82" w:type="dxa"/>
            <w:tcBorders/>
            <w:vAlign w:val="center"/>
          </w:tcPr>
          <w:p>
            <w:pPr>
              <w:pStyle w:val="TableContents"/>
              <w:bidi w:val="0"/>
              <w:spacing w:before="0" w:after="283"/>
              <w:jc w:val="left"/>
            </w:pPr>
            <w:r>
              <w:t> </w:t>
            </w:r>
          </w:p>
        </w:tc>
      </w:tr>
      <w:tr>
        <w:tc>
          <w:tcPr>
            <w:tcW w:w="279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8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2" w:type="dxa"/>
            <w:tcBorders/>
            <w:vAlign w:val="center"/>
          </w:tcPr>
          <w:p>
            <w:pPr>
              <w:pStyle w:val="TableContents"/>
              <w:bidi w:val="0"/>
              <w:spacing w:before="0" w:after="283"/>
              <w:jc w:val="left"/>
            </w:pPr>
            <w:r>
              <w:t> </w:t>
            </w:r>
          </w:p>
        </w:tc>
      </w:tr>
      <w:tr>
        <w:tc>
          <w:tcPr>
            <w:tcW w:w="279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8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1327"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 income</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124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59"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2" w:type="dxa"/>
            <w:tcBorders/>
            <w:vAlign w:val="center"/>
          </w:tcPr>
          <w:p>
            <w:pPr>
              <w:pStyle w:val="TableContents"/>
              <w:bidi w:val="0"/>
              <w:spacing w:before="0" w:after="283"/>
              <w:jc w:val="left"/>
            </w:pPr>
            <w:r>
              <w:t> </w:t>
            </w:r>
          </w:p>
        </w:tc>
      </w:tr>
      <w:tr>
        <w:tc>
          <w:tcPr>
            <w:tcW w:w="27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13,526,233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135,180,330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(112,233,665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22,960,297</w:t>
            </w:r>
          </w:p>
        </w:tc>
        <w:tc>
          <w:tcPr>
            <w:tcW w:w="82" w:type="dxa"/>
            <w:tcBorders/>
            <w:shd w:fill="CCEEFF" w:val="clear"/>
            <w:vAlign w:val="center"/>
          </w:tcPr>
          <w:p>
            <w:pPr>
              <w:pStyle w:val="TableContents"/>
              <w:bidi w:val="0"/>
              <w:spacing w:before="0" w:after="283"/>
              <w:jc w:val="left"/>
            </w:pPr>
            <w:r>
              <w:t> </w:t>
            </w:r>
          </w:p>
        </w:tc>
      </w:tr>
      <w:tr>
        <w:tc>
          <w:tcPr>
            <w:tcW w:w="27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on marketable securities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1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7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307,445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111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307,445</w:t>
            </w:r>
          </w:p>
        </w:tc>
        <w:tc>
          <w:tcPr>
            <w:tcW w:w="82" w:type="dxa"/>
            <w:tcBorders/>
            <w:shd w:fill="CCEEFF" w:val="clear"/>
            <w:vAlign w:val="center"/>
          </w:tcPr>
          <w:p>
            <w:pPr>
              <w:pStyle w:val="TableContents"/>
              <w:bidi w:val="0"/>
              <w:spacing w:before="0" w:after="283"/>
              <w:jc w:val="left"/>
            </w:pPr>
            <w:r>
              <w:t> </w:t>
            </w:r>
          </w:p>
        </w:tc>
      </w:tr>
      <w:tr>
        <w:tc>
          <w:tcPr>
            <w:tcW w:w="27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2026 Pre-Funded Warrants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1,592,863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11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2" w:type="dxa"/>
            <w:tcBorders/>
            <w:shd w:fill="FFFFFF" w:val="clear"/>
            <w:vAlign w:val="center"/>
          </w:tcPr>
          <w:p>
            <w:pPr>
              <w:pStyle w:val="TableContents"/>
              <w:bidi w:val="0"/>
              <w:spacing w:before="0" w:after="283"/>
              <w:jc w:val="left"/>
            </w:pPr>
            <w:r>
              <w:t> </w:t>
            </w:r>
          </w:p>
        </w:tc>
      </w:tr>
      <w:tr>
        <w:tc>
          <w:tcPr>
            <w:tcW w:w="27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(5,895,431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(5,895,431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7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2026</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15,119,096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135,487,775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(118,129,096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17,355,917</w:t>
            </w:r>
          </w:p>
        </w:tc>
        <w:tc>
          <w:tcPr>
            <w:tcW w:w="82"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6"/>
        <w:gridCol w:w="60"/>
        <w:gridCol w:w="60"/>
        <w:gridCol w:w="950"/>
        <w:gridCol w:w="60"/>
        <w:gridCol w:w="60"/>
        <w:gridCol w:w="125"/>
        <w:gridCol w:w="590"/>
        <w:gridCol w:w="60"/>
        <w:gridCol w:w="60"/>
        <w:gridCol w:w="125"/>
        <w:gridCol w:w="1055"/>
        <w:gridCol w:w="60"/>
        <w:gridCol w:w="60"/>
        <w:gridCol w:w="210"/>
        <w:gridCol w:w="1102"/>
        <w:gridCol w:w="80"/>
        <w:gridCol w:w="60"/>
        <w:gridCol w:w="125"/>
        <w:gridCol w:w="1115"/>
        <w:gridCol w:w="80"/>
        <w:gridCol w:w="60"/>
        <w:gridCol w:w="126"/>
        <w:gridCol w:w="1024"/>
        <w:gridCol w:w="82"/>
      </w:tblGrid>
      <w:tr>
        <w:tc>
          <w:tcPr>
            <w:tcW w:w="281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247"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 Period Ended September 30, 2026</w:t>
            </w:r>
          </w:p>
        </w:tc>
        <w:tc>
          <w:tcPr>
            <w:tcW w:w="82" w:type="dxa"/>
            <w:tcBorders/>
            <w:vAlign w:val="center"/>
          </w:tcPr>
          <w:p>
            <w:pPr>
              <w:pStyle w:val="TableContents"/>
              <w:bidi w:val="0"/>
              <w:spacing w:before="0" w:after="283"/>
              <w:jc w:val="left"/>
            </w:pPr>
            <w:r>
              <w:t> </w:t>
            </w:r>
          </w:p>
        </w:tc>
      </w:tr>
      <w:tr>
        <w:tc>
          <w:tcPr>
            <w:tcW w:w="281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8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1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2" w:type="dxa"/>
            <w:tcBorders/>
            <w:vAlign w:val="center"/>
          </w:tcPr>
          <w:p>
            <w:pPr>
              <w:pStyle w:val="TableContents"/>
              <w:bidi w:val="0"/>
              <w:spacing w:before="0" w:after="283"/>
              <w:jc w:val="left"/>
            </w:pPr>
            <w:r>
              <w:t> </w:t>
            </w:r>
          </w:p>
        </w:tc>
      </w:tr>
      <w:tr>
        <w:tc>
          <w:tcPr>
            <w:tcW w:w="281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8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12"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 income</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4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2" w:type="dxa"/>
            <w:tcBorders/>
            <w:vAlign w:val="center"/>
          </w:tcPr>
          <w:p>
            <w:pPr>
              <w:pStyle w:val="TableContents"/>
              <w:bidi w:val="0"/>
              <w:spacing w:before="0" w:after="283"/>
              <w:jc w:val="left"/>
            </w:pPr>
            <w:r>
              <w:t> </w:t>
            </w:r>
          </w:p>
        </w:tc>
      </w:tr>
      <w:tr>
        <w:tc>
          <w:tcPr>
            <w:tcW w:w="28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9,252,719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115,905,684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0" w:type="dxa"/>
            <w:tcBorders/>
            <w:shd w:fill="CCEEFF" w:val="clear"/>
            <w:vAlign w:val="center"/>
          </w:tcPr>
          <w:p>
            <w:pPr>
              <w:pStyle w:val="TableContents"/>
              <w:bidi w:val="0"/>
              <w:spacing w:before="0" w:after="283"/>
              <w:ind w:left="0" w:right="0" w:hanging="0"/>
              <w:jc w:val="left"/>
            </w:pPr>
            <w: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(97,697,851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18,222,901</w:t>
            </w:r>
          </w:p>
        </w:tc>
        <w:tc>
          <w:tcPr>
            <w:tcW w:w="82" w:type="dxa"/>
            <w:tcBorders/>
            <w:shd w:fill="CCEEFF" w:val="clear"/>
            <w:vAlign w:val="center"/>
          </w:tcPr>
          <w:p>
            <w:pPr>
              <w:pStyle w:val="TableContents"/>
              <w:bidi w:val="0"/>
              <w:spacing w:before="0" w:after="283"/>
              <w:jc w:val="left"/>
            </w:pPr>
            <w:r>
              <w:t> </w:t>
            </w:r>
          </w:p>
        </w:tc>
      </w:tr>
      <w:tr>
        <w:tc>
          <w:tcPr>
            <w:tcW w:w="28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0" w:type="dxa"/>
            <w:tcBorders/>
            <w:shd w:fill="FFFFFF" w:val="clear"/>
            <w:vAlign w:val="center"/>
          </w:tcPr>
          <w:p>
            <w:pPr>
              <w:pStyle w:val="TableContents"/>
              <w:bidi w:val="0"/>
              <w:spacing w:before="0" w:after="283"/>
              <w:ind w:left="0" w:right="0" w:hanging="0"/>
              <w:jc w:val="left"/>
            </w:pPr>
            <w: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8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1,018,916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0" w:type="dxa"/>
            <w:tcBorders/>
            <w:shd w:fill="CCEEFF" w:val="clear"/>
            <w:vAlign w:val="center"/>
          </w:tcPr>
          <w:p>
            <w:pPr>
              <w:pStyle w:val="TableContents"/>
              <w:bidi w:val="0"/>
              <w:spacing w:before="0" w:after="283"/>
              <w:ind w:left="0" w:right="0" w:hanging="0"/>
              <w:jc w:val="left"/>
            </w:pPr>
            <w:r>
              <w:t> </w:t>
            </w:r>
          </w:p>
        </w:tc>
        <w:tc>
          <w:tcPr>
            <w:tcW w:w="110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1,018,916</w:t>
            </w:r>
          </w:p>
        </w:tc>
        <w:tc>
          <w:tcPr>
            <w:tcW w:w="82" w:type="dxa"/>
            <w:tcBorders/>
            <w:shd w:fill="CCEEFF" w:val="clear"/>
            <w:vAlign w:val="center"/>
          </w:tcPr>
          <w:p>
            <w:pPr>
              <w:pStyle w:val="TableContents"/>
              <w:bidi w:val="0"/>
              <w:spacing w:before="0" w:after="283"/>
              <w:jc w:val="left"/>
            </w:pPr>
            <w:r>
              <w:t> </w:t>
            </w:r>
          </w:p>
        </w:tc>
      </w:tr>
      <w:tr>
        <w:tc>
          <w:tcPr>
            <w:tcW w:w="28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stock options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0" w:type="dxa"/>
            <w:tcBorders/>
            <w:shd w:fill="FFFFFF" w:val="clear"/>
            <w:vAlign w:val="center"/>
          </w:tcPr>
          <w:p>
            <w:pPr>
              <w:pStyle w:val="TableContents"/>
              <w:bidi w:val="0"/>
              <w:spacing w:before="0" w:after="283"/>
              <w:ind w:left="0" w:right="0" w:hanging="0"/>
              <w:jc w:val="left"/>
            </w:pPr>
            <w:r>
              <w:t> </w:t>
            </w:r>
          </w:p>
        </w:tc>
        <w:tc>
          <w:tcPr>
            <w:tcW w:w="1102"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13,800</w:t>
            </w:r>
          </w:p>
        </w:tc>
        <w:tc>
          <w:tcPr>
            <w:tcW w:w="82" w:type="dxa"/>
            <w:tcBorders/>
            <w:shd w:fill="FFFFFF" w:val="clear"/>
            <w:vAlign w:val="center"/>
          </w:tcPr>
          <w:p>
            <w:pPr>
              <w:pStyle w:val="TableContents"/>
              <w:bidi w:val="0"/>
              <w:spacing w:before="0" w:after="283"/>
              <w:jc w:val="left"/>
            </w:pPr>
            <w:r>
              <w:t> </w:t>
            </w:r>
          </w:p>
        </w:tc>
      </w:tr>
      <w:tr>
        <w:tc>
          <w:tcPr>
            <w:tcW w:w="281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- 2026 Private Placement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1,767,514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9,510,662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0" w:type="dxa"/>
            <w:tcBorders/>
            <w:shd w:fill="CCEEFF" w:val="clear"/>
            <w:vAlign w:val="center"/>
          </w:tcPr>
          <w:p>
            <w:pPr>
              <w:pStyle w:val="TableContents"/>
              <w:bidi w:val="0"/>
              <w:spacing w:before="0" w:after="283"/>
              <w:ind w:left="0" w:right="0" w:hanging="0"/>
              <w:jc w:val="left"/>
            </w:pPr>
            <w:r>
              <w:t> </w:t>
            </w:r>
          </w:p>
        </w:tc>
        <w:tc>
          <w:tcPr>
            <w:tcW w:w="110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9,512,430</w:t>
            </w:r>
          </w:p>
        </w:tc>
        <w:tc>
          <w:tcPr>
            <w:tcW w:w="82" w:type="dxa"/>
            <w:tcBorders/>
            <w:shd w:fill="CCEEFF" w:val="clear"/>
            <w:vAlign w:val="center"/>
          </w:tcPr>
          <w:p>
            <w:pPr>
              <w:pStyle w:val="TableContents"/>
              <w:bidi w:val="0"/>
              <w:spacing w:before="0" w:after="283"/>
              <w:jc w:val="left"/>
            </w:pPr>
            <w:r>
              <w:t> </w:t>
            </w:r>
          </w:p>
        </w:tc>
      </w:tr>
      <w:tr>
        <w:tc>
          <w:tcPr>
            <w:tcW w:w="281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- 2026 Registered Direct Offering</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9,038,719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0" w:type="dxa"/>
            <w:tcBorders/>
            <w:shd w:fill="FFFFFF" w:val="clear"/>
            <w:vAlign w:val="center"/>
          </w:tcPr>
          <w:p>
            <w:pPr>
              <w:pStyle w:val="TableContents"/>
              <w:bidi w:val="0"/>
              <w:spacing w:before="0" w:after="283"/>
              <w:ind w:left="0" w:right="0" w:hanging="0"/>
              <w:jc w:val="left"/>
            </w:pPr>
            <w:r>
              <w:t> </w:t>
            </w:r>
          </w:p>
        </w:tc>
        <w:tc>
          <w:tcPr>
            <w:tcW w:w="1102"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9,041,219</w:t>
            </w:r>
          </w:p>
        </w:tc>
        <w:tc>
          <w:tcPr>
            <w:tcW w:w="82" w:type="dxa"/>
            <w:tcBorders/>
            <w:shd w:fill="FFFFFF" w:val="clear"/>
            <w:vAlign w:val="center"/>
          </w:tcPr>
          <w:p>
            <w:pPr>
              <w:pStyle w:val="TableContents"/>
              <w:bidi w:val="0"/>
              <w:spacing w:before="0" w:after="283"/>
              <w:jc w:val="left"/>
            </w:pPr>
            <w:r>
              <w:t> </w:t>
            </w:r>
          </w:p>
        </w:tc>
      </w:tr>
      <w:tr>
        <w:tc>
          <w:tcPr>
            <w:tcW w:w="28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2026 Pre-Funded Warrants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1,592,863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0" w:type="dxa"/>
            <w:tcBorders/>
            <w:shd w:fill="CCEEFF" w:val="clear"/>
            <w:vAlign w:val="center"/>
          </w:tcPr>
          <w:p>
            <w:pPr>
              <w:pStyle w:val="TableContents"/>
              <w:bidi w:val="0"/>
              <w:spacing w:before="0" w:after="283"/>
              <w:ind w:left="0" w:right="0" w:hanging="0"/>
              <w:jc w:val="left"/>
            </w:pPr>
            <w:r>
              <w:t> </w:t>
            </w:r>
          </w:p>
        </w:tc>
        <w:tc>
          <w:tcPr>
            <w:tcW w:w="110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2" w:type="dxa"/>
            <w:tcBorders/>
            <w:shd w:fill="CCEEFF" w:val="clear"/>
            <w:vAlign w:val="center"/>
          </w:tcPr>
          <w:p>
            <w:pPr>
              <w:pStyle w:val="TableContents"/>
              <w:bidi w:val="0"/>
              <w:spacing w:before="0" w:after="283"/>
              <w:jc w:val="left"/>
            </w:pPr>
            <w:r>
              <w:t> </w:t>
            </w:r>
          </w:p>
        </w:tc>
      </w:tr>
      <w:tr>
        <w:tc>
          <w:tcPr>
            <w:tcW w:w="28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(20,431,245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(20,431,245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8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2026</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15,119,096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135,487,775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(118,129,096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17,355,917</w:t>
            </w:r>
          </w:p>
        </w:tc>
        <w:tc>
          <w:tcPr>
            <w:tcW w:w="82"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1"/>
        <w:gridCol w:w="60"/>
        <w:gridCol w:w="60"/>
        <w:gridCol w:w="845"/>
        <w:gridCol w:w="60"/>
        <w:gridCol w:w="60"/>
        <w:gridCol w:w="142"/>
        <w:gridCol w:w="553"/>
        <w:gridCol w:w="60"/>
        <w:gridCol w:w="60"/>
        <w:gridCol w:w="125"/>
        <w:gridCol w:w="1055"/>
        <w:gridCol w:w="60"/>
        <w:gridCol w:w="60"/>
        <w:gridCol w:w="272"/>
        <w:gridCol w:w="1060"/>
        <w:gridCol w:w="80"/>
        <w:gridCol w:w="60"/>
        <w:gridCol w:w="125"/>
        <w:gridCol w:w="1010"/>
        <w:gridCol w:w="80"/>
        <w:gridCol w:w="60"/>
        <w:gridCol w:w="134"/>
        <w:gridCol w:w="1031"/>
        <w:gridCol w:w="82"/>
      </w:tblGrid>
      <w:tr>
        <w:tc>
          <w:tcPr>
            <w:tcW w:w="3011"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052"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 Period Ended September 30, 2025</w:t>
            </w:r>
          </w:p>
        </w:tc>
        <w:tc>
          <w:tcPr>
            <w:tcW w:w="82" w:type="dxa"/>
            <w:tcBorders/>
            <w:vAlign w:val="center"/>
          </w:tcPr>
          <w:p>
            <w:pPr>
              <w:pStyle w:val="TableContents"/>
              <w:bidi w:val="0"/>
              <w:spacing w:before="0" w:after="283"/>
              <w:jc w:val="left"/>
            </w:pPr>
            <w:r>
              <w:t> </w:t>
            </w:r>
          </w:p>
        </w:tc>
      </w:tr>
      <w:tr>
        <w:tc>
          <w:tcPr>
            <w:tcW w:w="3011"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2" w:type="dxa"/>
            <w:tcBorders/>
            <w:vAlign w:val="center"/>
          </w:tcPr>
          <w:p>
            <w:pPr>
              <w:pStyle w:val="TableContents"/>
              <w:bidi w:val="0"/>
              <w:spacing w:before="0" w:after="283"/>
              <w:jc w:val="left"/>
            </w:pPr>
            <w:r>
              <w:t> </w:t>
            </w:r>
          </w:p>
        </w:tc>
      </w:tr>
      <w:tr>
        <w:tc>
          <w:tcPr>
            <w:tcW w:w="3011"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8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32"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 income</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3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6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2" w:type="dxa"/>
            <w:tcBorders/>
            <w:vAlign w:val="center"/>
          </w:tcPr>
          <w:p>
            <w:pPr>
              <w:pStyle w:val="TableContents"/>
              <w:bidi w:val="0"/>
              <w:spacing w:before="0" w:after="283"/>
              <w:jc w:val="left"/>
            </w:pPr>
            <w:r>
              <w:t> </w:t>
            </w:r>
          </w:p>
        </w:tc>
      </w:tr>
      <w:tr>
        <w:tc>
          <w:tcPr>
            <w:tcW w:w="30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9,252,719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115,315,232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(81,883,922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33,439,779</w:t>
            </w:r>
          </w:p>
        </w:tc>
        <w:tc>
          <w:tcPr>
            <w:tcW w:w="82" w:type="dxa"/>
            <w:tcBorders/>
            <w:shd w:fill="CCEEFF" w:val="clear"/>
            <w:vAlign w:val="center"/>
          </w:tcPr>
          <w:p>
            <w:pPr>
              <w:pStyle w:val="TableContents"/>
              <w:bidi w:val="0"/>
              <w:spacing w:before="0" w:after="283"/>
              <w:jc w:val="left"/>
            </w:pPr>
            <w:r>
              <w:t> </w:t>
            </w:r>
          </w:p>
        </w:tc>
      </w:tr>
      <w:tr>
        <w:tc>
          <w:tcPr>
            <w:tcW w:w="30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on marketable securities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553"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2" w:type="dxa"/>
            <w:tcBorders/>
            <w:shd w:fill="FFFFFF" w:val="clear"/>
            <w:vAlign w:val="center"/>
          </w:tcPr>
          <w:p>
            <w:pPr>
              <w:pStyle w:val="TableContents"/>
              <w:bidi w:val="0"/>
              <w:spacing w:before="0" w:after="283"/>
              <w:ind w:left="0" w:right="0" w:hanging="0"/>
              <w:jc w:val="left"/>
            </w:pPr>
            <w: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10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6,607</w:t>
            </w:r>
          </w:p>
        </w:tc>
        <w:tc>
          <w:tcPr>
            <w:tcW w:w="82" w:type="dxa"/>
            <w:tcBorders/>
            <w:shd w:fill="FFFFFF" w:val="clear"/>
            <w:vAlign w:val="center"/>
          </w:tcPr>
          <w:p>
            <w:pPr>
              <w:pStyle w:val="TableContents"/>
              <w:bidi w:val="0"/>
              <w:spacing w:before="0" w:after="283"/>
              <w:jc w:val="left"/>
            </w:pPr>
            <w:r>
              <w:t> </w:t>
            </w:r>
          </w:p>
        </w:tc>
      </w:tr>
      <w:tr>
        <w:tc>
          <w:tcPr>
            <w:tcW w:w="30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553"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291,717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2" w:type="dxa"/>
            <w:tcBorders/>
            <w:shd w:fill="CCEEFF" w:val="clear"/>
            <w:vAlign w:val="center"/>
          </w:tcPr>
          <w:p>
            <w:pPr>
              <w:pStyle w:val="TableContents"/>
              <w:bidi w:val="0"/>
              <w:spacing w:before="0" w:after="283"/>
              <w:ind w:left="0" w:right="0" w:hanging="0"/>
              <w:jc w:val="left"/>
            </w:pPr>
            <w:r>
              <w:t> </w:t>
            </w:r>
          </w:p>
        </w:tc>
        <w:tc>
          <w:tcPr>
            <w:tcW w:w="106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291,717</w:t>
            </w:r>
          </w:p>
        </w:tc>
        <w:tc>
          <w:tcPr>
            <w:tcW w:w="82" w:type="dxa"/>
            <w:tcBorders/>
            <w:shd w:fill="CCEEFF" w:val="clear"/>
            <w:vAlign w:val="center"/>
          </w:tcPr>
          <w:p>
            <w:pPr>
              <w:pStyle w:val="TableContents"/>
              <w:bidi w:val="0"/>
              <w:spacing w:before="0" w:after="283"/>
              <w:jc w:val="left"/>
            </w:pPr>
            <w:r>
              <w:t> </w:t>
            </w:r>
          </w:p>
        </w:tc>
      </w:tr>
      <w:tr>
        <w:tc>
          <w:tcPr>
            <w:tcW w:w="30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(7,726,639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(7,726,639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0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2025</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9,252,719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115,606,949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(89,610,561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26,011,464</w:t>
            </w:r>
          </w:p>
        </w:tc>
        <w:tc>
          <w:tcPr>
            <w:tcW w:w="82"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5"/>
        <w:gridCol w:w="60"/>
        <w:gridCol w:w="60"/>
        <w:gridCol w:w="845"/>
        <w:gridCol w:w="60"/>
        <w:gridCol w:w="60"/>
        <w:gridCol w:w="142"/>
        <w:gridCol w:w="553"/>
        <w:gridCol w:w="60"/>
        <w:gridCol w:w="60"/>
        <w:gridCol w:w="125"/>
        <w:gridCol w:w="1055"/>
        <w:gridCol w:w="60"/>
        <w:gridCol w:w="60"/>
        <w:gridCol w:w="213"/>
        <w:gridCol w:w="1115"/>
        <w:gridCol w:w="80"/>
        <w:gridCol w:w="60"/>
        <w:gridCol w:w="125"/>
        <w:gridCol w:w="1010"/>
        <w:gridCol w:w="80"/>
        <w:gridCol w:w="60"/>
        <w:gridCol w:w="128"/>
        <w:gridCol w:w="1037"/>
        <w:gridCol w:w="82"/>
      </w:tblGrid>
      <w:tr>
        <w:tc>
          <w:tcPr>
            <w:tcW w:w="301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048"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 Period Ended September 30, 2025</w:t>
            </w:r>
          </w:p>
        </w:tc>
        <w:tc>
          <w:tcPr>
            <w:tcW w:w="82" w:type="dxa"/>
            <w:tcBorders/>
            <w:vAlign w:val="center"/>
          </w:tcPr>
          <w:p>
            <w:pPr>
              <w:pStyle w:val="TableContents"/>
              <w:bidi w:val="0"/>
              <w:spacing w:before="0" w:after="283"/>
              <w:jc w:val="left"/>
            </w:pPr>
            <w:r>
              <w:t> </w:t>
            </w:r>
          </w:p>
        </w:tc>
      </w:tr>
      <w:tr>
        <w:tc>
          <w:tcPr>
            <w:tcW w:w="301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2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2" w:type="dxa"/>
            <w:tcBorders/>
            <w:vAlign w:val="center"/>
          </w:tcPr>
          <w:p>
            <w:pPr>
              <w:pStyle w:val="TableContents"/>
              <w:bidi w:val="0"/>
              <w:spacing w:before="0" w:after="283"/>
              <w:jc w:val="left"/>
            </w:pPr>
            <w:r>
              <w:t> </w:t>
            </w:r>
          </w:p>
        </w:tc>
      </w:tr>
      <w:tr>
        <w:tc>
          <w:tcPr>
            <w:tcW w:w="301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8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28"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 income</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3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6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2" w:type="dxa"/>
            <w:tcBorders/>
            <w:vAlign w:val="center"/>
          </w:tcPr>
          <w:p>
            <w:pPr>
              <w:pStyle w:val="TableContents"/>
              <w:bidi w:val="0"/>
              <w:spacing w:before="0" w:after="283"/>
              <w:jc w:val="left"/>
            </w:pPr>
            <w:r>
              <w:t> </w:t>
            </w:r>
          </w:p>
        </w:tc>
      </w:tr>
      <w:t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8,702,719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109,868,913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56,197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(70,731,484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39,202,328</w:t>
            </w:r>
          </w:p>
        </w:tc>
        <w:tc>
          <w:tcPr>
            <w:tcW w:w="82" w:type="dxa"/>
            <w:tcBorders/>
            <w:shd w:fill="CCEEFF" w:val="clear"/>
            <w:vAlign w:val="center"/>
          </w:tcPr>
          <w:p>
            <w:pPr>
              <w:pStyle w:val="TableContents"/>
              <w:bidi w:val="0"/>
              <w:spacing w:before="0" w:after="283"/>
              <w:jc w:val="left"/>
            </w:pPr>
            <w:r>
              <w:t> </w:t>
            </w:r>
          </w:p>
        </w:tc>
      </w:tr>
      <w:tr>
        <w:tc>
          <w:tcPr>
            <w:tcW w:w="30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553"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10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(50,373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0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shd w:fill="CCEEFF" w:val="clear"/>
            <w:vAlign w:val="center"/>
          </w:tcPr>
          <w:p>
            <w:pPr>
              <w:pStyle w:val="TableContents"/>
              <w:bidi w:val="0"/>
              <w:spacing w:before="0" w:after="283"/>
              <w:ind w:left="0" w:right="0" w:hanging="0"/>
              <w:jc w:val="left"/>
            </w:pPr>
            <w:r>
              <w:t> </w:t>
            </w:r>
          </w:p>
        </w:tc>
        <w:tc>
          <w:tcPr>
            <w:tcW w:w="553"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1,149,899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8" w:type="dxa"/>
            <w:tcBorders/>
            <w:shd w:fill="CCEEFF" w:val="clear"/>
            <w:vAlign w:val="center"/>
          </w:tcPr>
          <w:p>
            <w:pPr>
              <w:pStyle w:val="TableContents"/>
              <w:bidi w:val="0"/>
              <w:spacing w:before="0" w:after="283"/>
              <w:ind w:left="0" w:right="0" w:hanging="0"/>
              <w:jc w:val="left"/>
            </w:pPr>
            <w:r>
              <w:t> </w:t>
            </w:r>
          </w:p>
        </w:tc>
        <w:tc>
          <w:tcPr>
            <w:tcW w:w="10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1,149,899</w:t>
            </w:r>
          </w:p>
        </w:tc>
        <w:tc>
          <w:tcPr>
            <w:tcW w:w="82" w:type="dxa"/>
            <w:tcBorders/>
            <w:shd w:fill="CCEEFF" w:val="clear"/>
            <w:vAlign w:val="center"/>
          </w:tcPr>
          <w:p>
            <w:pPr>
              <w:pStyle w:val="TableContents"/>
              <w:bidi w:val="0"/>
              <w:spacing w:before="0" w:after="283"/>
              <w:jc w:val="left"/>
            </w:pPr>
            <w:r>
              <w:t> </w:t>
            </w:r>
          </w:p>
        </w:tc>
      </w:tr>
      <w:tr>
        <w:tc>
          <w:tcPr>
            <w:tcW w:w="30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of common stock, net of issuance costs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4,588,137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10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4,588,687</w:t>
            </w:r>
          </w:p>
        </w:tc>
        <w:tc>
          <w:tcPr>
            <w:tcW w:w="82" w:type="dxa"/>
            <w:tcBorders/>
            <w:shd w:fill="FFFFFF" w:val="clear"/>
            <w:vAlign w:val="center"/>
          </w:tcPr>
          <w:p>
            <w:pPr>
              <w:pStyle w:val="TableContents"/>
              <w:bidi w:val="0"/>
              <w:spacing w:before="0" w:after="283"/>
              <w:jc w:val="left"/>
            </w:pPr>
            <w:r>
              <w:t> </w:t>
            </w:r>
          </w:p>
        </w:tc>
      </w:tr>
      <w:tr>
        <w:tc>
          <w:tcPr>
            <w:tcW w:w="30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(18,879,077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(18,879,077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0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2025</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9,252,719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115,606,949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(89,610,561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26,011,464</w:t>
            </w:r>
          </w:p>
        </w:tc>
        <w:tc>
          <w:tcPr>
            <w:tcW w:w="82"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18"/>
        <w:gridCol w:w="60"/>
        <w:gridCol w:w="147"/>
        <w:gridCol w:w="1193"/>
        <w:gridCol w:w="93"/>
        <w:gridCol w:w="70"/>
        <w:gridCol w:w="147"/>
        <w:gridCol w:w="1193"/>
        <w:gridCol w:w="84"/>
      </w:tblGrid>
      <w:tr>
        <w:tc>
          <w:tcPr>
            <w:tcW w:w="721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8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4" w:type="dxa"/>
            <w:tcBorders/>
            <w:vAlign w:val="center"/>
          </w:tcPr>
          <w:p>
            <w:pPr>
              <w:pStyle w:val="TableContents"/>
              <w:bidi w:val="0"/>
              <w:spacing w:before="0" w:after="283"/>
              <w:jc w:val="left"/>
            </w:pPr>
            <w:r>
              <w:t> </w:t>
            </w:r>
          </w:p>
        </w:tc>
      </w:tr>
      <w:tr>
        <w:tc>
          <w:tcPr>
            <w:tcW w:w="721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3" w:type="dxa"/>
            <w:tcBorders/>
            <w:vAlign w:val="center"/>
          </w:tcPr>
          <w:p>
            <w:pPr>
              <w:pStyle w:val="TableContents"/>
              <w:bidi w:val="0"/>
              <w:spacing w:before="0" w:after="283"/>
              <w:jc w:val="left"/>
            </w:pPr>
            <w:r>
              <w:t> </w:t>
            </w:r>
          </w:p>
        </w:tc>
        <w:tc>
          <w:tcPr>
            <w:tcW w:w="70" w:type="dxa"/>
            <w:tcBorders/>
            <w:vAlign w:val="center"/>
          </w:tcPr>
          <w:p>
            <w:pPr>
              <w:pStyle w:val="TableContents"/>
              <w:bidi w:val="0"/>
              <w:spacing w:before="0" w:after="283"/>
              <w:ind w:left="0" w:right="0" w:hanging="0"/>
              <w:jc w:val="left"/>
            </w:pPr>
            <w: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93"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pPr>
            <w: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(20,431,245</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pPr>
            <w: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(18,879,077</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93"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 on marketable securities, net</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(199,419</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(708,019</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1,018,916</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1,149,899</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(36,468</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219,388</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offering costs</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(108,275</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(269,331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1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162,551</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(162,221</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1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(844,442</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882,253</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receivable</w:t>
            </w:r>
          </w:p>
        </w:tc>
        <w:tc>
          <w:tcPr>
            <w:tcW w:w="60" w:type="dxa"/>
            <w:tcBorders/>
            <w:shd w:fill="CCEEFF" w:val="clear"/>
            <w:vAlign w:val="center"/>
          </w:tcPr>
          <w:p>
            <w:pPr>
              <w:pStyle w:val="TableContents"/>
              <w:bidi w:val="0"/>
              <w:spacing w:before="0" w:after="283"/>
              <w:jc w:val="left"/>
            </w:pPr>
            <w: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426,993</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892,844</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pPr>
            <w: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(20,011,389</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(16,874,264</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18"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93"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marketable securities</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(15,933,318</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(20,776,519</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Maturities of marketable securities</w:t>
            </w:r>
          </w:p>
        </w:tc>
        <w:tc>
          <w:tcPr>
            <w:tcW w:w="60" w:type="dxa"/>
            <w:tcBorders/>
            <w:shd w:fill="FFFFFF" w:val="clear"/>
            <w:vAlign w:val="center"/>
          </w:tcPr>
          <w:p>
            <w:pPr>
              <w:pStyle w:val="TableContents"/>
              <w:bidi w:val="0"/>
              <w:spacing w:before="0" w:after="283"/>
              <w:jc w:val="left"/>
            </w:pPr>
            <w: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15,200,000</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33,500,000</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pPr>
            <w: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(733,318</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12,723,481</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jc w:val="left"/>
            </w:pPr>
            <w:r>
              <w:t> </w:t>
            </w:r>
          </w:p>
        </w:tc>
        <w:tc>
          <w:tcPr>
            <w:tcW w:w="1193"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exercise of stock options</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13,800</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pPr>
            <w:r>
              <w:t>—</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exercise of pre-funded warrants</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pPr>
            <w:r>
              <w:t>—</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issuance of common stock, net of issuance costs - 2026 Private Placement</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9,512,430</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ind w:left="0" w:right="0" w:hanging="0"/>
              <w:jc w:val="left"/>
            </w:pPr>
            <w:r>
              <w:t> </w:t>
            </w:r>
          </w:p>
        </w:tc>
        <w:tc>
          <w:tcPr>
            <w:tcW w:w="1193" w:type="dxa"/>
            <w:tcBorders/>
            <w:shd w:fill="FFFFFF" w:val="clear"/>
            <w:vAlign w:val="center"/>
          </w:tcPr>
          <w:p>
            <w:pPr>
              <w:pStyle w:val="TableContents"/>
              <w:bidi w:val="0"/>
              <w:spacing w:before="0" w:after="283"/>
              <w:ind w:left="0" w:right="0" w:hanging="0"/>
              <w:jc w:val="right"/>
            </w:pPr>
            <w:r>
              <w:t>—</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issuance of common stock, net of issuance costs - 2026 Registered Direct Offering</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9,041,219</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pPr>
            <w:r>
              <w:t>—</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of common stock under At-the-Market Sales Agreement, net of issuance costs</w:t>
            </w:r>
          </w:p>
        </w:tc>
        <w:tc>
          <w:tcPr>
            <w:tcW w:w="60" w:type="dxa"/>
            <w:tcBorders/>
            <w:shd w:fill="FFFFFF" w:val="clear"/>
            <w:vAlign w:val="center"/>
          </w:tcPr>
          <w:p>
            <w:pPr>
              <w:pStyle w:val="TableContents"/>
              <w:bidi w:val="0"/>
              <w:spacing w:before="0" w:after="283"/>
              <w:jc w:val="left"/>
            </w:pPr>
            <w: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4,588,687</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pPr>
            <w: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18,569,042</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4,588,687</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(2,175,665</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47" w:type="dxa"/>
            <w:tcBorders/>
            <w:shd w:fill="CCEEFF" w:val="clear"/>
            <w:vAlign w:val="center"/>
          </w:tcPr>
          <w:p>
            <w:pPr>
              <w:pStyle w:val="TableContents"/>
              <w:bidi w:val="0"/>
              <w:spacing w:before="0" w:after="283"/>
              <w:ind w:left="0" w:right="0" w:hanging="0"/>
              <w:jc w:val="left"/>
            </w:pPr>
            <w: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437,904</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pPr>
            <w: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8,235,469</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8,999,496</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pPr>
            <w: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6,059,804</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9,437,400</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47" w:type="dxa"/>
            <w:tcBorders/>
            <w:shd w:fill="FFFFFF" w:val="clear"/>
            <w:vAlign w:val="center"/>
          </w:tcPr>
          <w:p>
            <w:pPr>
              <w:pStyle w:val="TableContents"/>
              <w:bidi w:val="0"/>
              <w:spacing w:before="0" w:after="283"/>
              <w:jc w:val="left"/>
            </w:pPr>
            <w:r>
              <w:t> </w:t>
            </w:r>
          </w:p>
        </w:tc>
        <w:tc>
          <w:tcPr>
            <w:tcW w:w="1193"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non-cash investing and financing activities:</w:t>
            </w:r>
          </w:p>
        </w:tc>
        <w:tc>
          <w:tcPr>
            <w:tcW w:w="60" w:type="dxa"/>
            <w:tcBorders/>
            <w:shd w:fill="CCEEFF" w:val="clear"/>
            <w:vAlign w:val="center"/>
          </w:tcPr>
          <w:p>
            <w:pPr>
              <w:pStyle w:val="TableContents"/>
              <w:bidi w:val="0"/>
              <w:spacing w:before="0" w:after="283"/>
              <w:jc w:val="left"/>
            </w:pPr>
            <w: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r>
      <w:tr>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60" w:type="dxa"/>
            <w:tcBorders/>
            <w:shd w:fill="FFFFFF" w:val="clear"/>
            <w:vAlign w:val="center"/>
          </w:tcPr>
          <w:p>
            <w:pPr>
              <w:pStyle w:val="TableContents"/>
              <w:bidi w:val="0"/>
              <w:spacing w:before="0" w:after="283"/>
              <w:ind w:left="0" w:right="0" w:hanging="0"/>
              <w:jc w:val="left"/>
            </w:pPr>
            <w: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(23,697</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pPr>
            <w: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(50,373</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 The Company and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a corporation organized under the laws of the state of Delaware and headquartered in Boston, Massachusetts. The Company is a clinical-stage biotechnology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$19.6 million of cash, cash equivalents, and marketable securities as of September 30, 2026, has generated negative cash flows from operations and had an accumulated deficit of $118.1 million as of September 30, 2026. The Company expects to continue to generate operating losses for the foreseeable future. The Company’s future viability is dependent on its ability to raise additional capital to finance its operations and pursue its business strategies. There can be no assurances that additional funding will be available on terms acceptable to the Company, or at all. These conditions cause substantial doubt regarding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require additional financing to advance its current product candidates through clinical development, to develop, acquire or in-license other potential product candidates and to fund operations for the foreseeable future. The Company intends to continue to seek funds through equity offerings, debt financings or other capital sources, including grants, potential collaborations, licenses and other similar arrangements. However, the Company may be unable to raise additional funds or enter into such other arrangements when needed, on favorable terms, or at all. If the Company does raise additional capital through public or private equity offerings, the ownership interest of its existing stockholders will be diluted, and the terms of such securities may include liquidation or other preferences that adversely affect the Company's stockholders’ rights. If the Company raises additional capital through a debt financing, it may be subject to covenants limiting or restricting the Company's ability to take specific actions, such as incurring additional debt, making capital expenditures or declaring dividends. Any failure to raise capital as and when needed could have a negative impact on the Company's financial condition and on its ability to pursue its business plans and strategies. If the Company is unable to raise sufficient capital when needed, it may need to delay, reduce or terminate planned activities to reduce costs, including development or commercialization activities for neflamapimod. The Company might also be required to seek funds through arrangements with third parties that require it to relinquish certain of its rights to neflamapimod or otherwise agree to terms unfavorable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Accordingly, substantial doubt about the Company’s ability to continue as a going concern is not alleviated. Based on its current operating plan, the Company does not believe its existing cash, cash equivalents and marketable securities on hand of $19.6 million as of September 30, 2026 will enable the Company to fund its operating expenses and capital expenditure requirements for at least twelve months from the issuance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interim financial statements have been prepared on a going concern basis, which contemplates the realization of assets and satisfaction of liabilities in the normal course of business. The unaudited condensed consolidated interim financial statements do not include any adjustments that might result from the outcome of the uncertainty described in this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3.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have been prepared in conformity with US GAAP as defined by the FASB.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interim financial statements have been prepared by the Company in accordance with US GAAP for interim information and pursuant to the rules and regulations of the SEC. Accordingly, certain information and footnote disclosures normally included in the audited consolidated financial statements prepared in accordance with US GAAP have been condensed or omitted pursuant to such rules and regulations. These unaudited condensed consolidated interim financial statements should be read in conjunction with the audited consolidated financial statements and related notes for the year ended December 31, 2025, filed as part of the Company's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unaudited condensed consolidated interim financial statements have been prepared on the same basis as the audited consolidated financial statements and, in management’s opinion, include all adjustments, consisting of only normal recurring adjustments, necessary for the fair presentation of the financial information for the interim periods. However, the results of operations for any interim period are not necessarily indicative of the results expected for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include the accounts of the Company and its wholly-owned subsidiaries. All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unaudited condensed consolidated interim financial statements in conformity with US GAAP requires management to make estimates and assumptions that affect the reported amounts of assets, liabilities, grant revenue, expenses, and related disclosures. On an ongoing basis, the Company’s management evaluates its estimates, including estimates related to money market accounts, clinical trial accruals, stock-based compensation expense, grant revenue, and expenses during the reporting period. The Company bases its estimates on historical experience and other market-specific or relevant assumptions that it believes to be reasonable under the circumstances. Actual results may differ significantly from those estimates or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significant concentration of credit risk consist primarily of cash, cash equivalents and marketable securities.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Management also believes that the Company is not exposed to significant credit risk as it relates to marketable securities because the Company invests in US government securities, commercial paper, and corporate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considers all highly-liquid investments with original maturities of 90 days or less at the date of purchase to be cash and cash equivalents. Cash equivalents, which consist of amounts invested in money market funds and commercial paper, are stated at fair value. There are </w:t>
      </w:r>
      <w:r>
        <w:rPr>
          <w:rFonts w:ascii="Times New Roman" w:hAnsi="Times New Roman"/>
          <w:i/>
          <w:caps w:val="false"/>
          <w:smallCaps w:val="false"/>
          <w:sz w:val="20"/>
        </w:rPr>
        <w:t>de minimis</w:t>
      </w:r>
      <w:r>
        <w:rPr>
          <w:rFonts w:ascii="Times New Roman" w:hAnsi="Times New Roman"/>
          <w:caps w:val="false"/>
          <w:smallCaps w:val="false"/>
          <w:sz w:val="20"/>
        </w:rPr>
        <w:t xml:space="preserve"> unrealized losses on the money market funds and commercial paper for the three and nine months ended September 30, 2026 and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classifies its marketable securities as available-for-sale, which include commercial paper, US government debt securities, and corporate debt securities with original maturities of greater than 90 days from date of purchase. These securities are carried at fair value, with unrealized gains and losses reported on the condensed consolidated statement of operations and comprehensive loss and accumulated other comprehensive (loss) income within stockholders’ equity until realized. Purchase discounts are accreted using the effective interest method over the term of the related security and such accretion is included in interest income on the accompanying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evaluates its investments in marketable securities for impairment at each reporting period when the fair value is below amortized cost. If the Company intends to sell the security, or it is more likely than not the Company will be required to sell the security before recovery of amortized cost, the entire impairment is included in earnings. The Company did not record any impairment on marketable securities during the three and nine months ended September 30, 2026 and 2025. There was no allowance for credit losses as of September 30, 2026 or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capitalizes costs directly associated with equity financings as deferred offering costs on its consolidated balance sheet. These costs remain capitalized until such financings are consummated, at which time such costs are recorded against the gross proceeds from the applicable financing. With respect to financings conducted on an ongoing basis, such as at-the-market offerings, costs are recognized ratably as funds are received in proportion to the aggregate offering amount. If a financing is abandoned, any remaining deferred offering costs are expensed.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2026 and December 31, 2025, there were $0.4 million and $0.3 million, respectively, of deferred offering costs related to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Level 1</w:t>
      </w:r>
      <w:r>
        <w:rPr>
          <w:rFonts w:ascii="Times New Roman" w:hAnsi="Times New Roman"/>
          <w:caps w:val="false"/>
          <w:smallCaps w:val="false"/>
          <w:sz w:val="20"/>
        </w:rPr>
        <w:t xml:space="preserve"> – Inputs are unadjusted, quoted prices in active markets for identical assets or liabilities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Level 2</w:t>
      </w:r>
      <w:r>
        <w:rPr>
          <w:rFonts w:ascii="Times New Roman" w:hAnsi="Times New Roman"/>
          <w:caps w:val="false"/>
          <w:smallCaps w:val="false"/>
          <w:sz w:val="20"/>
        </w:rPr>
        <w:t xml:space="preserve">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Level 3</w:t>
      </w:r>
      <w:r>
        <w:rPr>
          <w:rFonts w:ascii="Times New Roman" w:hAnsi="Times New Roman"/>
          <w:caps w:val="false"/>
          <w:smallCaps w:val="false"/>
          <w:sz w:val="20"/>
        </w:rPr>
        <w:t xml:space="preserve"> – Unobservable inputs that are significant to the measurement of the fair value of the assets or liabilities that are supported by little or no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leases in accordance with ASC Topic 842, Leases, which requires a lessee to recognize an ROU asset and corresponding lease liability on the balance sheet for all leases with a term longer than 12 months. Leases will be classified as finance or operating, with classification affecting the pattern and expense recognition in the statement of operations and comprehensive loss as well as the reduction of the ROU asset. The standard provides a number of optional practical expedients in transition. The Company has elected to apply (i) the practical expedient, which allows the Company to not separate lease and non-lease components, for new leases and (ii) the short-term lease exemption for all leases with an original term of less than 12 months, for purposes of applying the recognition and measurements requirements in the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inception of an arrangement, the Company determines whether the arrangement is or contains a lease based on specific facts and circumstances, the existence of an identified asset(s), if any, and the Company’s control over the use of the identified asset(s), if applicable. Operating lease liabilities and their corresponding ROU assets are recorded based on the present value of future lease payments over the expected lease term. The interest rate implicit in lease contracts is typically not readily determinable. As such, the Company utilizes the incremental borrowing rate, which is the rate incurred to borrow on a collateralized basis over a similar term an amount equal to the lease payments in a similar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elected to combine lease and non-lease components as a single component. Operating leases are recognized on the unaudited interim condensed consolidated balance sheet as ROU assets, lease liabilities, current and lease liabilities, non-current. Fixed rent payments are included in the calculation of the lease balances, while variable costs paid for certain operating and pass-through costs are excluded. Lease expense is recognized over the expected term on a straight-line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costs are expensed as incurred and consist primarily of new product development. Research and development costs include salaries and benefits, consultants’ fees, process development costs and stock-based compensation, as well as fees paid to third parties that conduct certain research and development activities on the Company’s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substantial portion of the Company's ongoing research and development activities are conducted by third-party service providers. The Company records an estimate of expense for nonclinical studies and clinical trials in the period the expense is incurred. Estimates are based on the services performed pursuant to contracts with research institutions, CROs in connection with clinical studies, investigative sites in connection with clinical studies, vendors in connection with nonclinical development activities, and CDMOs in connection with the production of materials for clinical trials. Further, the Company records expenses related to clinical trials based on the level of subject enrollment and activity according to the related agreement. The Company monitors subject enrollment levels and related activity to the extent reasonably possible and makes judgments and estimates in determining the expense balance in each reporting period. Payments for these activities are based on the terms of the individual arrangements, which may differ from the pattern of costs incurred, and are reflected in the unaudited condensed consolidated interim financial statements as prepaid or accrued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Company underestimates or overestimates the level of services performed or the costs of these services, actual expenses could differ from estimates. To date, the Company has not experienced significant changes in its estimates of nonclinical studies and clinical trial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Patent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patent-related costs incurred in connection with filing and prosecuting patent applications are expensed as incurred due to the uncertainty about the recovery of the expenditure. Amounts incurred are classified as general and administrative expenses in the unaudited condensed consolidated interim statement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for employee and non-employee awards is measured on the grant date based on the fair value of the award and recognized on a straight-line basis over the requisite service period. The fair value of stock options to purchase common stock are measured using the Black-Scholes option pricing model. The Company accounts for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stock options is determined by the Company using the methods and assumptions discussed below. Each of these inputs is subjective and generally requires judgment and estimation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Expected Term</w:t>
      </w:r>
      <w:r>
        <w:rPr>
          <w:rFonts w:ascii="Times New Roman" w:hAnsi="Times New Roman"/>
          <w:caps w:val="false"/>
          <w:smallCaps w:val="false"/>
          <w:sz w:val="20"/>
        </w:rPr>
        <w:t>—The expected term represents the period that stock-based awards are expected to be outstanding. The Company uses the “simplified method” to estimate the expected term of stock option grants. Under this approach, the weighted-average expected life is presumed to be the average of the contractual term of ten years and the weighted-average vesting term of the Company stock options, taking into consideration multiple vesting tranches. The Company utilizes this method due to lack of historical data and the "plain-vanilla" nature of the Company’s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Expected Volatility</w:t>
      </w:r>
      <w:r>
        <w:rPr>
          <w:rFonts w:ascii="Times New Roman" w:hAnsi="Times New Roman"/>
          <w:caps w:val="false"/>
          <w:smallCaps w:val="false"/>
          <w:sz w:val="20"/>
        </w:rPr>
        <w:t>—The Company has limited information on the volatility of its common stock as the shares were not actively traded on any public markets until recently. The expected volatility is derived from the historical stock volatility of comparable peer public companies within its industry. These companies are considered to be comparable to the Company’s business over a period equivalent to the expected term of the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Risk-Free Interest Rate</w:t>
      </w:r>
      <w:r>
        <w:rPr>
          <w:rFonts w:ascii="Times New Roman" w:hAnsi="Times New Roman"/>
          <w:caps w:val="false"/>
          <w:smallCaps w:val="false"/>
          <w:sz w:val="20"/>
        </w:rPr>
        <w:t>—The risk-free interest rate is based on the US Treasury yield curve in effect at the date of grant for zero-coupon US Treasury notes with maturities approximately equal to the expected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Expected Dividend Rate</w:t>
      </w:r>
      <w:r>
        <w:rPr>
          <w:rFonts w:ascii="Times New Roman" w:hAnsi="Times New Roman"/>
          <w:caps w:val="false"/>
          <w:smallCaps w:val="false"/>
          <w:sz w:val="20"/>
        </w:rPr>
        <w:t>—The expected dividend is zero as the Company has not paid, nor does it anticipate paying, any dividends on its common stock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Grant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generated revenue from government contracts that reimburse the Company for certain allowable costs for funded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funding received from the NIA Grant as grant revenue, rather than as a reduction of research and development expenses, because the Company is the principal in conducting the research and development activities and these contracts are central to its ongoing operations. Revenue is recognized as the qualifying expenses related to the contracts are incurred. Revenue recognized upon incurring qualifying expenses in advance of receipt of funding is recorded in the Company’s unaudited condensed consolidated interim balance sheets as grant receivable. Amounts received in advance of services rendered are recorded as deferred grant revenue on the Company's unaudited condensed consolidated interim balance sheets. The related costs incurred by the Company are included in research and development expense in the Company’s unaudited condensed consolidated interim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under the asset and liability method, which requires the recognition of deferred tax assets and liabilities for the expected future tax consequences of events that have been included in the unaudited condensed consolidated interim financial statements. Under this method, deferred tax assets and liabilities are determined on the basis of the differences between the financial statement and tax basis of assets and liabilities by using enacted tax rates in effect for the year in which the differences are expected to recover or settle. The effect of a change in tax rates on deferred tax assets and liabilities is recognized on the statement of operations and comprehensive loss for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deferred tax assets are recognized to the extent the Company believes that these assets are more likely than not to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records uncertain tax positions using a two-step process. First, the Company determines whether it is more likely than not that the tax positions will be sustained on the basis of the technical merits of the position. Second, for those tax positions that meet the more-likely-than-not recognition threshold, the Company recognizes the largest amount of tax benefit that is more than 50% likely to be realized upon ultimate settlement with the related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interest and penalties, if any, related to unrecognized tax benefits on the interest expense line and other income (expense) line, respectively, in the accompanying unaudited condensed consolidated interim statements of operations and comprehensive loss. Accrued interest and penalties are included on the accrued expenses and other current liabilities line in the unaudited condensed consolidated interim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net loss per share is computed by dividing net loss by the weighted-average number of shares of common stock outstanding during each period. Diluted net loss per share includes the effect, if any, from the potential exercise or conversion of securities such as common stock warrants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Pursuant to ASC 260-10-45-13, shares issuable for little to no consideration should be included in the number of outstanding shares used for basic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potentially dilutive securities outstanding have been excluded from the computation of diluted weighted average shares outstanding, as they would be anti-dilutive:</w:t>
      </w:r>
    </w:p>
    <w:p>
      <w:pPr>
        <w:pStyle w:val="TextBody"/>
        <w:bidi w:val="0"/>
        <w:spacing w:before="0" w:after="0"/>
        <w:ind w:left="0" w:right="0" w:hanging="0"/>
        <w:jc w:val="both"/>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970"/>
        <w:gridCol w:w="60"/>
        <w:gridCol w:w="60"/>
        <w:gridCol w:w="950"/>
        <w:gridCol w:w="60"/>
        <w:gridCol w:w="60"/>
        <w:gridCol w:w="60"/>
        <w:gridCol w:w="845"/>
        <w:gridCol w:w="60"/>
      </w:tblGrid>
      <w:tr>
        <w:tc>
          <w:tcPr>
            <w:tcW w:w="197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0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pPr>
            <w:r>
              <w:t> </w:t>
            </w:r>
          </w:p>
        </w:tc>
      </w:tr>
      <w:tr>
        <w:tc>
          <w:tcPr>
            <w:tcW w:w="197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pPr>
            <w:r>
              <w:t> </w:t>
            </w:r>
          </w:p>
        </w:tc>
      </w:tr>
      <w:t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9,446,657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2,601,671</w:t>
            </w:r>
          </w:p>
        </w:tc>
        <w:tc>
          <w:tcPr>
            <w:tcW w:w="60" w:type="dxa"/>
            <w:tcBorders/>
            <w:shd w:fill="CCEEFF" w:val="clear"/>
            <w:vAlign w:val="center"/>
          </w:tcPr>
          <w:p>
            <w:pPr>
              <w:pStyle w:val="TableContents"/>
              <w:bidi w:val="0"/>
              <w:spacing w:before="0" w:after="283"/>
              <w:jc w:val="left"/>
            </w:pPr>
            <w:r>
              <w:t> </w:t>
            </w:r>
          </w:p>
        </w:tc>
      </w:tr>
      <w:t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1,301,359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995,374</w:t>
            </w:r>
          </w:p>
        </w:tc>
        <w:tc>
          <w:tcPr>
            <w:tcW w:w="60" w:type="dxa"/>
            <w:tcBorders/>
            <w:shd w:fill="FFFFFF" w:val="clear"/>
            <w:vAlign w:val="center"/>
          </w:tcPr>
          <w:p>
            <w:pPr>
              <w:pStyle w:val="TableContents"/>
              <w:bidi w:val="0"/>
              <w:spacing w:before="0" w:after="283"/>
              <w:jc w:val="left"/>
            </w:pPr>
            <w:r>
              <w:t> </w:t>
            </w:r>
          </w:p>
        </w:tc>
      </w:tr>
      <w:tr>
        <w:tc>
          <w:tcPr>
            <w:tcW w:w="197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10,748,016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3,597,045</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No. 2024-03, "Disaggregation of Income Statement Expenses" ("ASU 2024-03"). ASU 2024-03 requires additional disclosure of specific types of expenses included in the expense captions presented on the face of the statement of operations and comprehensive loss, as well as disclosures about selling expenses. ASU 2024-03 is effective for fiscal years beginning after December 15, 2026, and interim periods beginning after December 15, 2027, with early adoption permitted. The requirements will be applied prospectively with the option for retrospective application. The Company is currently evaluating the impact that the adoption of ASU 2024-03 will have on its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No. 2025-11, "Interim Reporting Narrow-Scope Improvements" ("ASU 2025-11"), which is intended to improve the navigability of the guidance in ASC 270, Interim Reporting, and clarify when it applies. Under the amendments, an entity is subject to ASC 270 if it provides interim financial statements and notes in accordance with US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of these amendments on its consolidated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 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financial instruments consist primarily of cash, cash equivalents, marketable securities, and accounts payable. The Company’s cash, cash equivalents, marketable securities and accounts payable approximate fair value due to their relatively short maturities.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Company’s assets that are measured at fair value on a recurring basis:</w:t>
      </w:r>
    </w:p>
    <w:p>
      <w:pPr>
        <w:pStyle w:val="TextBody"/>
        <w:bidi w:val="0"/>
        <w:spacing w:before="0" w:after="0"/>
        <w:ind w:left="0" w:right="0" w:hanging="0"/>
        <w:jc w:val="both"/>
        <w:rPr>
          <w:caps w:val="false"/>
          <w:smallCaps w:val="false"/>
        </w:rPr>
      </w:pPr>
      <w:r>
        <w:rPr>
          <w:caps w:val="false"/>
          <w:smallCaps w:val="false"/>
        </w:rPr>
        <w:t> </w:t>
      </w:r>
    </w:p>
    <w:tbl>
      <w:tblPr>
        <w:tblW w:w="5954"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25"/>
        <w:gridCol w:w="950"/>
        <w:gridCol w:w="60"/>
        <w:gridCol w:w="60"/>
        <w:gridCol w:w="248"/>
        <w:gridCol w:w="521"/>
        <w:gridCol w:w="60"/>
      </w:tblGrid>
      <w:tr>
        <w:tc>
          <w:tcPr>
            <w:tcW w:w="27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05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2026</w:t>
            </w:r>
          </w:p>
        </w:tc>
        <w:tc>
          <w:tcPr>
            <w:tcW w:w="60" w:type="dxa"/>
            <w:tcBorders/>
            <w:vAlign w:val="center"/>
          </w:tcPr>
          <w:p>
            <w:pPr>
              <w:pStyle w:val="TableContents"/>
              <w:bidi w:val="0"/>
              <w:spacing w:before="0" w:after="283"/>
              <w:jc w:val="left"/>
            </w:pPr>
            <w:r>
              <w:t> </w:t>
            </w:r>
          </w:p>
        </w:tc>
      </w:tr>
      <w:tr>
        <w:tc>
          <w:tcPr>
            <w:tcW w:w="27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vAlign w:val="center"/>
          </w:tcPr>
          <w:p>
            <w:pPr>
              <w:pStyle w:val="TableContents"/>
              <w:bidi w:val="0"/>
              <w:spacing w:before="0" w:after="283"/>
              <w:jc w:val="left"/>
            </w:pPr>
            <w:r>
              <w:t> </w:t>
            </w:r>
          </w:p>
        </w:tc>
      </w:tr>
      <w:tr>
        <w:tc>
          <w:tcPr>
            <w:tcW w:w="27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8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9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48" w:type="dxa"/>
            <w:tcBorders/>
            <w:vAlign w:val="center"/>
          </w:tcPr>
          <w:p>
            <w:pPr>
              <w:pStyle w:val="TableContents"/>
              <w:bidi w:val="0"/>
              <w:spacing w:before="0" w:after="283"/>
              <w:jc w:val="left"/>
            </w:pPr>
            <w:r>
              <w:t> </w:t>
            </w:r>
          </w:p>
        </w:tc>
        <w:tc>
          <w:tcPr>
            <w:tcW w:w="521"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8" w:type="dxa"/>
            <w:tcBorders/>
            <w:shd w:fill="CCEEFF" w:val="clear"/>
            <w:vAlign w:val="center"/>
          </w:tcPr>
          <w:p>
            <w:pPr>
              <w:pStyle w:val="TableContents"/>
              <w:bidi w:val="0"/>
              <w:spacing w:before="0" w:after="283"/>
              <w:jc w:val="left"/>
            </w:pPr>
            <w:r>
              <w:t> </w:t>
            </w:r>
          </w:p>
        </w:tc>
        <w:tc>
          <w:tcPr>
            <w:tcW w:w="52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equivalents: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8" w:type="dxa"/>
            <w:tcBorders/>
            <w:shd w:fill="FFFFFF" w:val="clear"/>
            <w:vAlign w:val="center"/>
          </w:tcPr>
          <w:p>
            <w:pPr>
              <w:pStyle w:val="TableContents"/>
              <w:bidi w:val="0"/>
              <w:spacing w:before="0" w:after="283"/>
              <w:jc w:val="left"/>
            </w:pPr>
            <w:r>
              <w:t> </w:t>
            </w:r>
          </w:p>
        </w:tc>
        <w:tc>
          <w:tcPr>
            <w:tcW w:w="52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accounts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3,323,076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1,744,347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8" w:type="dxa"/>
            <w:tcBorders/>
            <w:shd w:fill="FFFFFF" w:val="clear"/>
            <w:vAlign w:val="center"/>
          </w:tcPr>
          <w:p>
            <w:pPr>
              <w:pStyle w:val="TableContents"/>
              <w:bidi w:val="0"/>
              <w:spacing w:before="0" w:after="283"/>
              <w:ind w:left="0" w:right="0" w:hanging="0"/>
              <w:jc w:val="left"/>
            </w:pPr>
            <w:r>
              <w:t> </w:t>
            </w:r>
          </w:p>
        </w:tc>
        <w:tc>
          <w:tcPr>
            <w:tcW w:w="52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8" w:type="dxa"/>
            <w:tcBorders/>
            <w:shd w:fill="CCEEFF" w:val="clear"/>
            <w:vAlign w:val="center"/>
          </w:tcPr>
          <w:p>
            <w:pPr>
              <w:pStyle w:val="TableContents"/>
              <w:bidi w:val="0"/>
              <w:spacing w:before="0" w:after="283"/>
              <w:jc w:val="left"/>
            </w:pPr>
            <w:r>
              <w:t> </w:t>
            </w:r>
          </w:p>
        </w:tc>
        <w:tc>
          <w:tcPr>
            <w:tcW w:w="52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10,062,660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bonds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994,850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8" w:type="dxa"/>
            <w:tcBorders/>
            <w:shd w:fill="CCEEFF" w:val="clear"/>
            <w:vAlign w:val="center"/>
          </w:tcPr>
          <w:p>
            <w:pPr>
              <w:pStyle w:val="TableContents"/>
              <w:bidi w:val="0"/>
              <w:spacing w:before="0" w:after="283"/>
              <w:ind w:left="0" w:right="0" w:hanging="0"/>
              <w:jc w:val="left"/>
            </w:pPr>
            <w:r>
              <w:t> </w:t>
            </w:r>
          </w:p>
        </w:tc>
        <w:tc>
          <w:tcPr>
            <w:tcW w:w="52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2,480,500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measured at fair value</w:t>
            </w:r>
          </w:p>
        </w:tc>
        <w:tc>
          <w:tcPr>
            <w:tcW w:w="60" w:type="dxa"/>
            <w:tcBorders/>
            <w:shd w:fill="CCEEFF" w:val="clear"/>
            <w:vAlign w:val="center"/>
          </w:tcPr>
          <w:p>
            <w:pPr>
              <w:pStyle w:val="TableContents"/>
              <w:bidi w:val="0"/>
              <w:spacing w:before="0" w:after="283"/>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3,323,076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15,282,357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5954"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25"/>
        <w:gridCol w:w="950"/>
        <w:gridCol w:w="60"/>
        <w:gridCol w:w="60"/>
        <w:gridCol w:w="248"/>
        <w:gridCol w:w="521"/>
        <w:gridCol w:w="60"/>
      </w:tblGrid>
      <w:tr>
        <w:tc>
          <w:tcPr>
            <w:tcW w:w="27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05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jc w:val="left"/>
            </w:pPr>
            <w:r>
              <w:t> </w:t>
            </w:r>
          </w:p>
        </w:tc>
      </w:tr>
      <w:tr>
        <w:tc>
          <w:tcPr>
            <w:tcW w:w="27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vAlign w:val="center"/>
          </w:tcPr>
          <w:p>
            <w:pPr>
              <w:pStyle w:val="TableContents"/>
              <w:bidi w:val="0"/>
              <w:spacing w:before="0" w:after="283"/>
              <w:jc w:val="left"/>
            </w:pPr>
            <w:r>
              <w:t> </w:t>
            </w:r>
          </w:p>
        </w:tc>
      </w:tr>
      <w:tr>
        <w:tc>
          <w:tcPr>
            <w:tcW w:w="27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8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9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248" w:type="dxa"/>
            <w:tcBorders/>
            <w:vAlign w:val="center"/>
          </w:tcPr>
          <w:p>
            <w:pPr>
              <w:pStyle w:val="TableContents"/>
              <w:bidi w:val="0"/>
              <w:spacing w:before="0" w:after="283"/>
              <w:jc w:val="left"/>
            </w:pPr>
            <w:r>
              <w:t> </w:t>
            </w:r>
          </w:p>
        </w:tc>
        <w:tc>
          <w:tcPr>
            <w:tcW w:w="521"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8" w:type="dxa"/>
            <w:tcBorders/>
            <w:shd w:fill="CCEEFF" w:val="clear"/>
            <w:vAlign w:val="center"/>
          </w:tcPr>
          <w:p>
            <w:pPr>
              <w:pStyle w:val="TableContents"/>
              <w:bidi w:val="0"/>
              <w:spacing w:before="0" w:after="283"/>
              <w:jc w:val="left"/>
            </w:pPr>
            <w:r>
              <w:t> </w:t>
            </w:r>
          </w:p>
        </w:tc>
        <w:tc>
          <w:tcPr>
            <w:tcW w:w="52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equivalents: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8" w:type="dxa"/>
            <w:tcBorders/>
            <w:shd w:fill="FFFFFF" w:val="clear"/>
            <w:vAlign w:val="center"/>
          </w:tcPr>
          <w:p>
            <w:pPr>
              <w:pStyle w:val="TableContents"/>
              <w:bidi w:val="0"/>
              <w:spacing w:before="0" w:after="283"/>
              <w:jc w:val="left"/>
            </w:pPr>
            <w:r>
              <w:t> </w:t>
            </w:r>
          </w:p>
        </w:tc>
        <w:tc>
          <w:tcPr>
            <w:tcW w:w="52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accounts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6,300,291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999,330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8" w:type="dxa"/>
            <w:tcBorders/>
            <w:shd w:fill="FFFFFF" w:val="clear"/>
            <w:vAlign w:val="center"/>
          </w:tcPr>
          <w:p>
            <w:pPr>
              <w:pStyle w:val="TableContents"/>
              <w:bidi w:val="0"/>
              <w:spacing w:before="0" w:after="283"/>
              <w:ind w:left="0" w:right="0" w:hanging="0"/>
              <w:jc w:val="left"/>
            </w:pPr>
            <w:r>
              <w:t> </w:t>
            </w:r>
          </w:p>
        </w:tc>
        <w:tc>
          <w:tcPr>
            <w:tcW w:w="52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5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8" w:type="dxa"/>
            <w:tcBorders/>
            <w:shd w:fill="CCEEFF" w:val="clear"/>
            <w:vAlign w:val="center"/>
          </w:tcPr>
          <w:p>
            <w:pPr>
              <w:pStyle w:val="TableContents"/>
              <w:bidi w:val="0"/>
              <w:spacing w:before="0" w:after="283"/>
              <w:jc w:val="left"/>
            </w:pPr>
            <w:r>
              <w:t> </w:t>
            </w:r>
          </w:p>
        </w:tc>
        <w:tc>
          <w:tcPr>
            <w:tcW w:w="52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11,139,880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8" w:type="dxa"/>
            <w:tcBorders/>
            <w:shd w:fill="FFFFFF" w:val="clear"/>
            <w:vAlign w:val="center"/>
          </w:tcPr>
          <w:p>
            <w:pPr>
              <w:pStyle w:val="TableContents"/>
              <w:bidi w:val="0"/>
              <w:spacing w:before="0" w:after="283"/>
              <w:ind w:left="0" w:right="0" w:hanging="0"/>
              <w:jc w:val="left"/>
            </w:pPr>
            <w:r>
              <w:t> </w:t>
            </w:r>
          </w:p>
        </w:tc>
        <w:tc>
          <w:tcPr>
            <w:tcW w:w="52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bonds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1,238,538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8" w:type="dxa"/>
            <w:tcBorders/>
            <w:shd w:fill="CCEEFF" w:val="clear"/>
            <w:vAlign w:val="center"/>
          </w:tcPr>
          <w:p>
            <w:pPr>
              <w:pStyle w:val="TableContents"/>
              <w:bidi w:val="0"/>
              <w:spacing w:before="0" w:after="283"/>
              <w:ind w:left="0" w:right="0" w:hanging="0"/>
              <w:jc w:val="left"/>
            </w:pPr>
            <w:r>
              <w:t> </w:t>
            </w:r>
          </w:p>
        </w:tc>
        <w:tc>
          <w:tcPr>
            <w:tcW w:w="52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bonds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250,552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measured at fair value</w:t>
            </w:r>
          </w:p>
        </w:tc>
        <w:tc>
          <w:tcPr>
            <w:tcW w:w="60" w:type="dxa"/>
            <w:tcBorders/>
            <w:shd w:fill="CCEEFF" w:val="clear"/>
            <w:vAlign w:val="center"/>
          </w:tcPr>
          <w:p>
            <w:pPr>
              <w:pStyle w:val="TableContents"/>
              <w:bidi w:val="0"/>
              <w:spacing w:before="0" w:after="283"/>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6,300,291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13,628,300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values of the Company’s Level 2 marketable securities are estimated primarily based on benchmark yields, reported trades, market-based quotes, issuer spreads, two-sided markets, benchmark securities, bids, offers, and reference data including market research publications, which represent a market approach. In general, a market approach is utilized if there is readily available and relevant market activity for an individual security. This valuation technique may change from period to period, based on the relevance and availability of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summary of the Company's marketable securities which provides a reconciliation of amortized cost basis to fair value including cumulative unrealized gains and losses as of September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7877" w:type="dxa"/>
        <w:jc w:val="left"/>
        <w:tblInd w:w="0" w:type="dxa"/>
        <w:tblLayout w:type="fixed"/>
        <w:tblCellMar>
          <w:top w:w="0" w:type="dxa"/>
          <w:left w:w="0" w:type="dxa"/>
          <w:bottom w:w="0" w:type="dxa"/>
          <w:right w:w="0" w:type="dxa"/>
        </w:tblCellMar>
      </w:tblPr>
      <w:tblGrid>
        <w:gridCol w:w="2045"/>
        <w:gridCol w:w="60"/>
        <w:gridCol w:w="155"/>
        <w:gridCol w:w="1184"/>
        <w:gridCol w:w="60"/>
        <w:gridCol w:w="60"/>
        <w:gridCol w:w="468"/>
        <w:gridCol w:w="976"/>
        <w:gridCol w:w="60"/>
        <w:gridCol w:w="60"/>
        <w:gridCol w:w="237"/>
        <w:gridCol w:w="1237"/>
        <w:gridCol w:w="80"/>
        <w:gridCol w:w="60"/>
        <w:gridCol w:w="125"/>
        <w:gridCol w:w="950"/>
        <w:gridCol w:w="60"/>
      </w:tblGrid>
      <w:tr>
        <w:tc>
          <w:tcPr>
            <w:tcW w:w="20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71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2026</w:t>
            </w:r>
          </w:p>
        </w:tc>
        <w:tc>
          <w:tcPr>
            <w:tcW w:w="60" w:type="dxa"/>
            <w:tcBorders/>
            <w:vAlign w:val="center"/>
          </w:tcPr>
          <w:p>
            <w:pPr>
              <w:pStyle w:val="TableContents"/>
              <w:bidi w:val="0"/>
              <w:spacing w:before="0" w:after="283"/>
              <w:jc w:val="left"/>
            </w:pPr>
            <w:r>
              <w:t> </w:t>
            </w:r>
          </w:p>
        </w:tc>
      </w:tr>
      <w:tr>
        <w:tc>
          <w:tcPr>
            <w:tcW w:w="20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gains</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losses</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pPr>
            <w:r>
              <w:t> </w:t>
            </w:r>
          </w:p>
        </w:tc>
      </w:tr>
      <w:t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ind w:left="0" w:right="0" w:hanging="0"/>
              <w:jc w:val="left"/>
            </w:pPr>
            <w: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10,074,157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10,062,660</w:t>
            </w:r>
          </w:p>
        </w:tc>
        <w:tc>
          <w:tcPr>
            <w:tcW w:w="60" w:type="dxa"/>
            <w:tcBorders/>
            <w:shd w:fill="CCEEFF" w:val="clear"/>
            <w:vAlign w:val="center"/>
          </w:tcPr>
          <w:p>
            <w:pPr>
              <w:pStyle w:val="TableContents"/>
              <w:bidi w:val="0"/>
              <w:spacing w:before="0" w:after="283"/>
              <w:jc w:val="left"/>
            </w:pPr>
            <w:r>
              <w:t> </w:t>
            </w:r>
          </w:p>
        </w:tc>
      </w:tr>
      <w:t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bonds</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994,974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68" w:type="dxa"/>
            <w:tcBorders/>
            <w:shd w:fill="FFFFFF" w:val="clear"/>
            <w:vAlign w:val="center"/>
          </w:tcPr>
          <w:p>
            <w:pPr>
              <w:pStyle w:val="TableContents"/>
              <w:bidi w:val="0"/>
              <w:spacing w:before="0" w:after="283"/>
              <w:ind w:left="0" w:right="0" w:hanging="0"/>
              <w:jc w:val="left"/>
            </w:pPr>
            <w:r>
              <w:t> </w:t>
            </w:r>
          </w:p>
        </w:tc>
        <w:tc>
          <w:tcPr>
            <w:tcW w:w="976"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7" w:type="dxa"/>
            <w:tcBorders/>
            <w:shd w:fill="FFFFFF" w:val="clear"/>
            <w:vAlign w:val="center"/>
          </w:tcPr>
          <w:p>
            <w:pPr>
              <w:pStyle w:val="TableContents"/>
              <w:bidi w:val="0"/>
              <w:spacing w:before="0" w:after="283"/>
              <w:ind w:left="0" w:right="0" w:hanging="0"/>
              <w:jc w:val="left"/>
            </w:pPr>
            <w: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994,850</w:t>
            </w:r>
          </w:p>
        </w:tc>
        <w:tc>
          <w:tcPr>
            <w:tcW w:w="60" w:type="dxa"/>
            <w:tcBorders/>
            <w:shd w:fill="FFFFFF" w:val="clear"/>
            <w:vAlign w:val="center"/>
          </w:tcPr>
          <w:p>
            <w:pPr>
              <w:pStyle w:val="TableContents"/>
              <w:bidi w:val="0"/>
              <w:spacing w:before="0" w:after="283"/>
              <w:jc w:val="left"/>
            </w:pPr>
            <w:r>
              <w:t> </w:t>
            </w:r>
          </w:p>
        </w:tc>
      </w:tr>
      <w:t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pPr>
            <w: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2,486,760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2,480,500</w:t>
            </w:r>
          </w:p>
        </w:tc>
        <w:tc>
          <w:tcPr>
            <w:tcW w:w="60" w:type="dxa"/>
            <w:tcBorders/>
            <w:shd w:fill="CCEEFF" w:val="clear"/>
            <w:vAlign w:val="center"/>
          </w:tcPr>
          <w:p>
            <w:pPr>
              <w:pStyle w:val="TableContents"/>
              <w:bidi w:val="0"/>
              <w:spacing w:before="0" w:after="283"/>
              <w:jc w:val="left"/>
            </w:pPr>
            <w:r>
              <w:t> </w:t>
            </w:r>
          </w:p>
        </w:tc>
      </w:tr>
      <w:t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13,555,891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13,538,010</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8352" w:type="dxa"/>
        <w:jc w:val="left"/>
        <w:tblInd w:w="0" w:type="dxa"/>
        <w:tblLayout w:type="fixed"/>
        <w:tblCellMar>
          <w:top w:w="0" w:type="dxa"/>
          <w:left w:w="0" w:type="dxa"/>
          <w:bottom w:w="0" w:type="dxa"/>
          <w:right w:w="0" w:type="dxa"/>
        </w:tblCellMar>
      </w:tblPr>
      <w:tblGrid>
        <w:gridCol w:w="2540"/>
        <w:gridCol w:w="60"/>
        <w:gridCol w:w="155"/>
        <w:gridCol w:w="1184"/>
        <w:gridCol w:w="60"/>
        <w:gridCol w:w="60"/>
        <w:gridCol w:w="295"/>
        <w:gridCol w:w="1149"/>
        <w:gridCol w:w="60"/>
        <w:gridCol w:w="60"/>
        <w:gridCol w:w="478"/>
        <w:gridCol w:w="996"/>
        <w:gridCol w:w="60"/>
        <w:gridCol w:w="60"/>
        <w:gridCol w:w="125"/>
        <w:gridCol w:w="950"/>
        <w:gridCol w:w="60"/>
      </w:tblGrid>
      <w:tr>
        <w:tc>
          <w:tcPr>
            <w:tcW w:w="25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569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jc w:val="left"/>
            </w:pPr>
            <w:r>
              <w:t> </w:t>
            </w:r>
          </w:p>
        </w:tc>
      </w:tr>
      <w:tr>
        <w:tc>
          <w:tcPr>
            <w:tcW w:w="25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gains</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losses</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pPr>
            <w:r>
              <w:t> </w:t>
            </w:r>
          </w:p>
        </w:tc>
      </w:tr>
      <w:t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ind w:left="0" w:right="0" w:hanging="0"/>
              <w:jc w:val="left"/>
            </w:pPr>
            <w: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11,134,856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11,139,880</w:t>
            </w:r>
          </w:p>
        </w:tc>
        <w:tc>
          <w:tcPr>
            <w:tcW w:w="60" w:type="dxa"/>
            <w:tcBorders/>
            <w:shd w:fill="CCEEFF" w:val="clear"/>
            <w:vAlign w:val="center"/>
          </w:tcPr>
          <w:p>
            <w:pPr>
              <w:pStyle w:val="TableContents"/>
              <w:bidi w:val="0"/>
              <w:spacing w:before="0" w:after="283"/>
              <w:jc w:val="left"/>
            </w:pPr>
            <w:r>
              <w:t> </w:t>
            </w:r>
          </w:p>
        </w:tc>
      </w:tr>
      <w:t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bonds</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1,237,794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95" w:type="dxa"/>
            <w:tcBorders/>
            <w:shd w:fill="FFFFFF" w:val="clear"/>
            <w:vAlign w:val="center"/>
          </w:tcPr>
          <w:p>
            <w:pPr>
              <w:pStyle w:val="TableContents"/>
              <w:bidi w:val="0"/>
              <w:spacing w:before="0" w:after="283"/>
              <w:ind w:left="0" w:right="0" w:hanging="0"/>
              <w:jc w:val="left"/>
            </w:pPr>
            <w: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78" w:type="dxa"/>
            <w:tcBorders/>
            <w:shd w:fill="FFFFFF" w:val="clear"/>
            <w:vAlign w:val="center"/>
          </w:tcPr>
          <w:p>
            <w:pPr>
              <w:pStyle w:val="TableContents"/>
              <w:bidi w:val="0"/>
              <w:spacing w:before="0" w:after="283"/>
              <w:ind w:left="0" w:right="0" w:hanging="0"/>
              <w:jc w:val="left"/>
            </w:pPr>
            <w:r>
              <w:t> </w:t>
            </w:r>
          </w:p>
        </w:tc>
        <w:tc>
          <w:tcPr>
            <w:tcW w:w="996"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1,238,538</w:t>
            </w:r>
          </w:p>
        </w:tc>
        <w:tc>
          <w:tcPr>
            <w:tcW w:w="60" w:type="dxa"/>
            <w:tcBorders/>
            <w:shd w:fill="FFFFFF" w:val="clear"/>
            <w:vAlign w:val="center"/>
          </w:tcPr>
          <w:p>
            <w:pPr>
              <w:pStyle w:val="TableContents"/>
              <w:bidi w:val="0"/>
              <w:spacing w:before="0" w:after="283"/>
              <w:jc w:val="left"/>
            </w:pPr>
            <w:r>
              <w:t> </w:t>
            </w:r>
          </w:p>
        </w:tc>
      </w:tr>
      <w:t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bonds</w:t>
            </w:r>
          </w:p>
        </w:tc>
        <w:tc>
          <w:tcPr>
            <w:tcW w:w="60" w:type="dxa"/>
            <w:tcBorders/>
            <w:shd w:fill="CCEEFF" w:val="clear"/>
            <w:vAlign w:val="center"/>
          </w:tcPr>
          <w:p>
            <w:pPr>
              <w:pStyle w:val="TableContents"/>
              <w:bidi w:val="0"/>
              <w:spacing w:before="0" w:after="283"/>
              <w:jc w:val="left"/>
            </w:pPr>
            <w: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250,504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250,552</w:t>
            </w:r>
          </w:p>
        </w:tc>
        <w:tc>
          <w:tcPr>
            <w:tcW w:w="60" w:type="dxa"/>
            <w:tcBorders/>
            <w:shd w:fill="CCEEFF" w:val="clear"/>
            <w:vAlign w:val="center"/>
          </w:tcPr>
          <w:p>
            <w:pPr>
              <w:pStyle w:val="TableContents"/>
              <w:bidi w:val="0"/>
              <w:spacing w:before="0" w:after="283"/>
              <w:jc w:val="left"/>
            </w:pPr>
            <w:r>
              <w:t> </w:t>
            </w:r>
          </w:p>
        </w:tc>
      </w:tr>
      <w:t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12,623,154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12,628,970</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transfers among Level 1, Level 2 or Level 3 categories in the three and nine months ended September 30, 2026 or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5. Significant Agreements and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Vertex Option and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2012, the Company entered the Vertex Agreement to acquire an exclusive license to develop and commercialize a drug candidate, “VX-745,” from Vertex. In August 2014, the Company exercised its option to acquire the license and paid an option fee of $100,000, which was expensed as incurred as a component of 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Vertex Agreement granted the Company the exclusive worldwide use of VX-745 in the field of diagnosis, treatment and prevention of AD and related central nervous system disorders in humans.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the Vertex Agreement, the Company is obligated to make certain payments totaling up to approximately $117.0 million upon achievement of certain regulatory and sales milestones, and royalties on net sales of products on indications covered by the Vertex Agreement. The first expected milestone events concern filing of a New Drug Application with the FDA for marketing approval of neflamapimod in the US, or a similar filing for a non-US major market, as specified in the Vertex Agreement, and such royalties will be on a sliding scale of percentages of net sales in the low- to mid-teens, depending on the amount of net sales in the applicable years. The Company is also obligated to make a milestone payment to Vertex upon net sales reaching a certain specified amount in any 12-month period. The Vertex Agreement states that royalties will be reduced by 50% during any portion of the royalty term when there is no valid claim of an issued patent within specified patent rights covering the licensed product. The Company also has the right to deduct, on a country by country basis, from royalties otherwise payable to Vertex under the terms of the Vertex Agreement, 50% of all royalties, upfront fees, milestones and other payments paid by the Company or any of the Company’s affiliates or sublicensees to third parties under licenses that are necessary for the development, manufacture, sale or use of a licensed product, provided that in no event will the royalty payable to Vertex be reduced to less than 50% of the rates specified in the Vertex Agreement, subject to certain adjustments specified therein. The Company has made a total of $100,000 in payments to Vertex related to the Vertex Agreement. No payments were made during the three and nine months ended September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National Institute on Aging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2023, the Company was awarded a $21.0 million grant from the NIA to support its RewinD-LB Trial, a Phase 2b study of neflamapimod in patients with DLB and, in August 2024, the Company was awarded an additional $0.3 million under the grant. The grant monies were expected to be received over a period of three years including $6.7 million in 2023, $8.4 million in 2024 and $6.2 million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revenue recognized from the NIA Grant for the three and nine months ended September 30, 2026. The total revenue recognized from the NIA Grant was $0.3 million and $4.0 million for the three and nine months ended September 30, 2025, respectively. As of September 30, 2026, aggregate total cash funding of $20.9 million has been received from the NIA Grant, with no amount remaining. There is no further funding available under this grant and no receivable balance remaining as of September 30, 2026. During the nine months ended September 30, 2026, the Company forfeited $0.2 million previously awarded under the NIA Grant due to underbilling on an agreement with a clinical trial site. As of December 31, 2025, $0.4 million was recorded as a receivable in the consolidated balance sheet for allowable expenses incurred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2025, the Company received access to 98% of the year 3 funding provided for in the NIA Grant, due to then-current NIA policy. In January 2026, the Company was informed that it would not receive the final 2% of year 3 grant funding, or approximately $0.2 million, that remained unavailable as of December 31, 2025, as a result of agency-wide reductions in NIA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6. Prepaid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expenses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443" w:type="dxa"/>
        <w:jc w:val="left"/>
        <w:tblInd w:w="0" w:type="dxa"/>
        <w:tblLayout w:type="fixed"/>
        <w:tblCellMar>
          <w:top w:w="0" w:type="dxa"/>
          <w:left w:w="0" w:type="dxa"/>
          <w:bottom w:w="0" w:type="dxa"/>
          <w:right w:w="0" w:type="dxa"/>
        </w:tblCellMar>
      </w:tblPr>
      <w:tblGrid>
        <w:gridCol w:w="1880"/>
        <w:gridCol w:w="60"/>
        <w:gridCol w:w="217"/>
        <w:gridCol w:w="1467"/>
        <w:gridCol w:w="60"/>
        <w:gridCol w:w="60"/>
        <w:gridCol w:w="211"/>
        <w:gridCol w:w="1428"/>
        <w:gridCol w:w="60"/>
      </w:tblGrid>
      <w:tr>
        <w:tc>
          <w:tcPr>
            <w:tcW w:w="18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jc w:val="left"/>
            </w:pPr>
            <w:r>
              <w:t> </w:t>
            </w:r>
          </w:p>
        </w:tc>
      </w:tr>
      <w:t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expenses</w:t>
            </w:r>
          </w:p>
        </w:tc>
        <w:tc>
          <w:tcPr>
            <w:tcW w:w="60" w:type="dxa"/>
            <w:tcBorders/>
            <w:shd w:fill="CCEEFF" w:val="clear"/>
            <w:vAlign w:val="center"/>
          </w:tcPr>
          <w:p>
            <w:pPr>
              <w:pStyle w:val="TableContents"/>
              <w:bidi w:val="0"/>
              <w:spacing w:before="0" w:after="283"/>
              <w:ind w:left="0" w:right="0" w:hanging="0"/>
              <w:jc w:val="left"/>
            </w:pPr>
            <w: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463,460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677,604</w:t>
            </w:r>
          </w:p>
        </w:tc>
        <w:tc>
          <w:tcPr>
            <w:tcW w:w="60" w:type="dxa"/>
            <w:tcBorders/>
            <w:shd w:fill="CCEEFF" w:val="clear"/>
            <w:vAlign w:val="center"/>
          </w:tcPr>
          <w:p>
            <w:pPr>
              <w:pStyle w:val="TableContents"/>
              <w:bidi w:val="0"/>
              <w:spacing w:before="0" w:after="283"/>
              <w:jc w:val="left"/>
            </w:pPr>
            <w:r>
              <w:t> </w:t>
            </w:r>
          </w:p>
        </w:tc>
      </w:tr>
      <w:t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pPr>
            <w:r>
              <w:t> </w:t>
            </w:r>
          </w:p>
        </w:tc>
        <w:tc>
          <w:tcPr>
            <w:tcW w:w="217" w:type="dxa"/>
            <w:tcBorders/>
            <w:shd w:fill="FFFFFF" w:val="clear"/>
            <w:vAlign w:val="center"/>
          </w:tcPr>
          <w:p>
            <w:pPr>
              <w:pStyle w:val="TableContents"/>
              <w:bidi w:val="0"/>
              <w:spacing w:before="0" w:after="283"/>
              <w:ind w:left="0" w:right="0" w:hanging="0"/>
              <w:jc w:val="left"/>
            </w:pPr>
            <w:r>
              <w:t> </w:t>
            </w:r>
          </w:p>
        </w:tc>
        <w:tc>
          <w:tcPr>
            <w:tcW w:w="14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572,723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405,795</w:t>
            </w:r>
          </w:p>
        </w:tc>
        <w:tc>
          <w:tcPr>
            <w:tcW w:w="60" w:type="dxa"/>
            <w:tcBorders/>
            <w:shd w:fill="FFFFFF" w:val="clear"/>
            <w:vAlign w:val="center"/>
          </w:tcPr>
          <w:p>
            <w:pPr>
              <w:pStyle w:val="TableContents"/>
              <w:bidi w:val="0"/>
              <w:spacing w:before="0" w:after="283"/>
              <w:jc w:val="left"/>
            </w:pPr>
            <w:r>
              <w:t> </w:t>
            </w:r>
          </w:p>
        </w:tc>
      </w:tr>
      <w:t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vAlign w:val="center"/>
          </w:tcPr>
          <w:p>
            <w:pPr>
              <w:pStyle w:val="TableContents"/>
              <w:bidi w:val="0"/>
              <w:spacing w:before="0" w:after="283"/>
              <w:jc w:val="left"/>
            </w:pPr>
            <w:r>
              <w:t> </w:t>
            </w:r>
          </w:p>
        </w:tc>
        <w:tc>
          <w:tcPr>
            <w:tcW w:w="217" w:type="dxa"/>
            <w:tcBorders/>
            <w:shd w:fill="CCEEFF" w:val="clear"/>
            <w:vAlign w:val="center"/>
          </w:tcPr>
          <w:p>
            <w:pPr>
              <w:pStyle w:val="TableContents"/>
              <w:bidi w:val="0"/>
              <w:spacing w:before="0" w:after="283"/>
              <w:ind w:left="0" w:right="0" w:hanging="0"/>
              <w:jc w:val="left"/>
            </w:pPr>
            <w:r>
              <w:t> </w:t>
            </w:r>
          </w:p>
        </w:tc>
        <w:tc>
          <w:tcPr>
            <w:tcW w:w="14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76,840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ind w:left="0" w:right="0" w:hanging="0"/>
              <w:jc w:val="left"/>
            </w:pPr>
            <w: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119,803</w:t>
            </w:r>
          </w:p>
        </w:tc>
        <w:tc>
          <w:tcPr>
            <w:tcW w:w="60" w:type="dxa"/>
            <w:tcBorders/>
            <w:shd w:fill="CCEEFF" w:val="clear"/>
            <w:vAlign w:val="center"/>
          </w:tcPr>
          <w:p>
            <w:pPr>
              <w:pStyle w:val="TableContents"/>
              <w:bidi w:val="0"/>
              <w:spacing w:before="0" w:after="283"/>
              <w:jc w:val="left"/>
            </w:pPr>
            <w:r>
              <w:t> </w:t>
            </w:r>
          </w:p>
        </w:tc>
      </w:tr>
      <w:t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Dues and memberships</w:t>
            </w:r>
          </w:p>
        </w:tc>
        <w:tc>
          <w:tcPr>
            <w:tcW w:w="60" w:type="dxa"/>
            <w:tcBorders/>
            <w:shd w:fill="FFFFFF" w:val="clear"/>
            <w:vAlign w:val="center"/>
          </w:tcPr>
          <w:p>
            <w:pPr>
              <w:pStyle w:val="TableContents"/>
              <w:bidi w:val="0"/>
              <w:spacing w:before="0" w:after="283"/>
              <w:jc w:val="left"/>
            </w:pPr>
            <w:r>
              <w:t> </w:t>
            </w:r>
          </w:p>
        </w:tc>
        <w:tc>
          <w:tcPr>
            <w:tcW w:w="217" w:type="dxa"/>
            <w:tcBorders/>
            <w:shd w:fill="FFFFFF" w:val="clear"/>
            <w:vAlign w:val="center"/>
          </w:tcPr>
          <w:p>
            <w:pPr>
              <w:pStyle w:val="TableContents"/>
              <w:bidi w:val="0"/>
              <w:spacing w:before="0" w:after="283"/>
              <w:ind w:left="0" w:right="0" w:hanging="0"/>
              <w:jc w:val="left"/>
            </w:pPr>
            <w:r>
              <w:t> </w:t>
            </w:r>
          </w:p>
        </w:tc>
        <w:tc>
          <w:tcPr>
            <w:tcW w:w="14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40,078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43,828</w:t>
            </w:r>
          </w:p>
        </w:tc>
        <w:tc>
          <w:tcPr>
            <w:tcW w:w="60" w:type="dxa"/>
            <w:tcBorders/>
            <w:shd w:fill="FFFFFF" w:val="clear"/>
            <w:vAlign w:val="center"/>
          </w:tcPr>
          <w:p>
            <w:pPr>
              <w:pStyle w:val="TableContents"/>
              <w:bidi w:val="0"/>
              <w:spacing w:before="0" w:after="283"/>
              <w:jc w:val="left"/>
            </w:pPr>
            <w:r>
              <w:t> </w:t>
            </w:r>
          </w:p>
        </w:tc>
      </w:tr>
      <w:t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150,372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19,975</w:t>
            </w:r>
          </w:p>
        </w:tc>
        <w:tc>
          <w:tcPr>
            <w:tcW w:w="60" w:type="dxa"/>
            <w:tcBorders/>
            <w:shd w:fill="CCEEFF" w:val="clear"/>
            <w:vAlign w:val="center"/>
          </w:tcPr>
          <w:p>
            <w:pPr>
              <w:pStyle w:val="TableContents"/>
              <w:bidi w:val="0"/>
              <w:spacing w:before="0" w:after="283"/>
              <w:jc w:val="left"/>
            </w:pPr>
            <w:r>
              <w:t> </w:t>
            </w:r>
          </w:p>
        </w:tc>
      </w:tr>
      <w:t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1,303,473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1,267,005</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043" w:type="dxa"/>
        <w:jc w:val="left"/>
        <w:tblInd w:w="0" w:type="dxa"/>
        <w:tblLayout w:type="fixed"/>
        <w:tblCellMar>
          <w:top w:w="0" w:type="dxa"/>
          <w:left w:w="0" w:type="dxa"/>
          <w:bottom w:w="0" w:type="dxa"/>
          <w:right w:w="0" w:type="dxa"/>
        </w:tblCellMar>
      </w:tblPr>
      <w:tblGrid>
        <w:gridCol w:w="2480"/>
        <w:gridCol w:w="60"/>
        <w:gridCol w:w="217"/>
        <w:gridCol w:w="1467"/>
        <w:gridCol w:w="60"/>
        <w:gridCol w:w="60"/>
        <w:gridCol w:w="211"/>
        <w:gridCol w:w="1428"/>
        <w:gridCol w:w="60"/>
      </w:tblGrid>
      <w:tr>
        <w:tc>
          <w:tcPr>
            <w:tcW w:w="24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jc w:val="left"/>
            </w:pPr>
            <w:r>
              <w:t> </w:t>
            </w:r>
          </w:p>
        </w:tc>
      </w:tr>
      <w:t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compensation costs</w:t>
            </w:r>
          </w:p>
        </w:tc>
        <w:tc>
          <w:tcPr>
            <w:tcW w:w="60" w:type="dxa"/>
            <w:tcBorders/>
            <w:shd w:fill="CCEEFF" w:val="clear"/>
            <w:vAlign w:val="center"/>
          </w:tcPr>
          <w:p>
            <w:pPr>
              <w:pStyle w:val="TableContents"/>
              <w:bidi w:val="0"/>
              <w:spacing w:before="0" w:after="283"/>
              <w:ind w:left="0" w:right="0" w:hanging="0"/>
              <w:jc w:val="left"/>
            </w:pPr>
            <w: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1,247,730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1,061,766</w:t>
            </w:r>
          </w:p>
        </w:tc>
        <w:tc>
          <w:tcPr>
            <w:tcW w:w="60" w:type="dxa"/>
            <w:tcBorders/>
            <w:shd w:fill="CCEEFF" w:val="clear"/>
            <w:vAlign w:val="center"/>
          </w:tcPr>
          <w:p>
            <w:pPr>
              <w:pStyle w:val="TableContents"/>
              <w:bidi w:val="0"/>
              <w:spacing w:before="0" w:after="283"/>
              <w:jc w:val="left"/>
            </w:pPr>
            <w:r>
              <w:t> </w:t>
            </w:r>
          </w:p>
        </w:tc>
      </w:tr>
      <w:t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development costs</w:t>
            </w:r>
          </w:p>
        </w:tc>
        <w:tc>
          <w:tcPr>
            <w:tcW w:w="60" w:type="dxa"/>
            <w:tcBorders/>
            <w:shd w:fill="FFFFFF" w:val="clear"/>
            <w:vAlign w:val="center"/>
          </w:tcPr>
          <w:p>
            <w:pPr>
              <w:pStyle w:val="TableContents"/>
              <w:bidi w:val="0"/>
              <w:spacing w:before="0" w:after="283"/>
              <w:jc w:val="left"/>
            </w:pPr>
            <w:r>
              <w:t> </w:t>
            </w:r>
          </w:p>
        </w:tc>
        <w:tc>
          <w:tcPr>
            <w:tcW w:w="217" w:type="dxa"/>
            <w:tcBorders/>
            <w:shd w:fill="FFFFFF" w:val="clear"/>
            <w:vAlign w:val="center"/>
          </w:tcPr>
          <w:p>
            <w:pPr>
              <w:pStyle w:val="TableContents"/>
              <w:bidi w:val="0"/>
              <w:spacing w:before="0" w:after="283"/>
              <w:ind w:left="0" w:right="0" w:hanging="0"/>
              <w:jc w:val="left"/>
            </w:pPr>
            <w:r>
              <w:t> </w:t>
            </w:r>
          </w:p>
        </w:tc>
        <w:tc>
          <w:tcPr>
            <w:tcW w:w="14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470,654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1,484,318</w:t>
            </w:r>
          </w:p>
        </w:tc>
        <w:tc>
          <w:tcPr>
            <w:tcW w:w="60" w:type="dxa"/>
            <w:tcBorders/>
            <w:shd w:fill="FFFFFF" w:val="clear"/>
            <w:vAlign w:val="center"/>
          </w:tcPr>
          <w:p>
            <w:pPr>
              <w:pStyle w:val="TableContents"/>
              <w:bidi w:val="0"/>
              <w:spacing w:before="0" w:after="283"/>
              <w:jc w:val="left"/>
            </w:pPr>
            <w:r>
              <w:t> </w:t>
            </w:r>
          </w:p>
        </w:tc>
      </w:tr>
      <w:t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pPr>
            <w:r>
              <w:t> </w:t>
            </w:r>
          </w:p>
        </w:tc>
        <w:tc>
          <w:tcPr>
            <w:tcW w:w="217" w:type="dxa"/>
            <w:tcBorders/>
            <w:shd w:fill="CCEEFF" w:val="clear"/>
            <w:vAlign w:val="center"/>
          </w:tcPr>
          <w:p>
            <w:pPr>
              <w:pStyle w:val="TableContents"/>
              <w:bidi w:val="0"/>
              <w:spacing w:before="0" w:after="283"/>
              <w:ind w:left="0" w:right="0" w:hanging="0"/>
              <w:jc w:val="left"/>
            </w:pPr>
            <w:r>
              <w:t> </w:t>
            </w:r>
          </w:p>
        </w:tc>
        <w:tc>
          <w:tcPr>
            <w:tcW w:w="14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509,081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ind w:left="0" w:right="0" w:hanging="0"/>
              <w:jc w:val="left"/>
            </w:pPr>
            <w: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532,076</w:t>
            </w:r>
          </w:p>
        </w:tc>
        <w:tc>
          <w:tcPr>
            <w:tcW w:w="60" w:type="dxa"/>
            <w:tcBorders/>
            <w:shd w:fill="CCEEFF" w:val="clear"/>
            <w:vAlign w:val="center"/>
          </w:tcPr>
          <w:p>
            <w:pPr>
              <w:pStyle w:val="TableContents"/>
              <w:bidi w:val="0"/>
              <w:spacing w:before="0" w:after="283"/>
              <w:jc w:val="left"/>
            </w:pPr>
            <w:r>
              <w:t> </w:t>
            </w:r>
          </w:p>
        </w:tc>
      </w:tr>
      <w:t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franchise and excise tax</w:t>
            </w:r>
          </w:p>
        </w:tc>
        <w:tc>
          <w:tcPr>
            <w:tcW w:w="60" w:type="dxa"/>
            <w:tcBorders/>
            <w:shd w:fill="FFFFFF" w:val="clear"/>
            <w:vAlign w:val="center"/>
          </w:tcPr>
          <w:p>
            <w:pPr>
              <w:pStyle w:val="TableContents"/>
              <w:bidi w:val="0"/>
              <w:spacing w:before="0" w:after="283"/>
              <w:jc w:val="left"/>
            </w:pPr>
            <w:r>
              <w:t> </w:t>
            </w:r>
          </w:p>
        </w:tc>
        <w:tc>
          <w:tcPr>
            <w:tcW w:w="217" w:type="dxa"/>
            <w:tcBorders/>
            <w:shd w:fill="FFFFFF" w:val="clear"/>
            <w:vAlign w:val="center"/>
          </w:tcPr>
          <w:p>
            <w:pPr>
              <w:pStyle w:val="TableContents"/>
              <w:bidi w:val="0"/>
              <w:spacing w:before="0" w:after="283"/>
              <w:ind w:left="0" w:right="0" w:hanging="0"/>
              <w:jc w:val="left"/>
            </w:pPr>
            <w:r>
              <w:t> </w:t>
            </w:r>
          </w:p>
        </w:tc>
        <w:tc>
          <w:tcPr>
            <w:tcW w:w="14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70,456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40,456</w:t>
            </w:r>
          </w:p>
        </w:tc>
        <w:tc>
          <w:tcPr>
            <w:tcW w:w="60" w:type="dxa"/>
            <w:tcBorders/>
            <w:shd w:fill="FFFFFF" w:val="clear"/>
            <w:vAlign w:val="center"/>
          </w:tcPr>
          <w:p>
            <w:pPr>
              <w:pStyle w:val="TableContents"/>
              <w:bidi w:val="0"/>
              <w:spacing w:before="0" w:after="283"/>
              <w:jc w:val="left"/>
            </w:pPr>
            <w:r>
              <w:t> </w:t>
            </w:r>
          </w:p>
        </w:tc>
      </w:tr>
      <w:t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59,636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83,383</w:t>
            </w:r>
          </w:p>
        </w:tc>
        <w:tc>
          <w:tcPr>
            <w:tcW w:w="60" w:type="dxa"/>
            <w:tcBorders/>
            <w:shd w:fill="CCEEFF" w:val="clear"/>
            <w:vAlign w:val="center"/>
          </w:tcPr>
          <w:p>
            <w:pPr>
              <w:pStyle w:val="TableContents"/>
              <w:bidi w:val="0"/>
              <w:spacing w:before="0" w:after="283"/>
              <w:jc w:val="left"/>
            </w:pPr>
            <w:r>
              <w:t> </w:t>
            </w:r>
          </w:p>
        </w:tc>
      </w:tr>
      <w:t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2,357,557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3,201,999</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 short-term lease for office space in Boston, Massachusetts. Lease expense was approximately $64,800 and $35,860 for the nine months ended September 30, 2026 and 2025, respectively. For the three months ended September 30, 2026 and 2025, lease expense was approximately $21,600 and $16,200,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course of normal business operations, the Company enters into agreements with universities and CROs to assist in the performance of research and development activities and with CDMOs to assist with CMC related activities. Expenditures to CROs and other CDMOs represent a significant cost in clinical development for the Company. The Company could also enter into additional collaborative research, contract research, manufacturing, and supplier agreements in the future, which may require upfront payments and long-term commitments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Defined Contribution Retirement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established its 401(k) Plan, which covers all employees who qualify under the terms of the plan. Eligible employees may elect to contribute to the 401(k) Plan up to 90% of their compensation, limited by the IRS-imposed maximum. The Company provides a safe harbor match with a maximum amount of 4% of the participant’s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total contributions under the 401(k) Plan of $0.3 million for the nine months ended September 30, 2026 and 2025. There were total contributions under the 401(k) Plan of $0.1 million for the three months ended September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Feller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7, 2014, a complaint was filed in the Superior Court of Los Angeles County, California by Paul Feller, the former Chief Executive Officer of the Company’s legal predecessor, under the caption Paul Feller v. RestorGenex Corporation, Pro Sports &amp; Entertainment, Inc., ProElite, Inc. and Stratus Media Group, GmbH (Case No. BC553996). The complaint asserts various causes of action, including, among other things, promissory fraud, negligent misrepresentation, breach of contract, breach of employment agreement, breach of the covenant of good faith and fair dealing, violations of the California Labor Code and common counts. The plaintiff is seeking, among other things, compensatory damages in an undetermined amount, punitive damages, accrued interest and an award of attorneys’ fees and costs. On December 30, 2014, the Company filed a petition to compel arbitration and a motion to stay the action. On April 1, 2015, the plaintiff filed a petition in opposition to the Company’s petition to compel arbitration and a motion to stay the action. After a related hearing on April 14, 2015, the court granted the Company’s petition to compel arbitration and a motion to stay the action. On January 8, 2016, the plaintiff filed an arbitration demand with the American Arbitration Association. On November 19, 2018 at an Order to Show Cause Re Dismissal Hearing, the court found sufficient grounds not to dismiss the case and an arbitration hearing was scheduled, originally for November 2020 but later postponed due to the COVID-19 pandemic and related restrictions on gatherings in the State of California. In addition, following the November 2018 hearing, an automatic stay was placed on the arbitration in connection with the plaintiff filing for personal bankruptcy protection. On October 22, 2021, following a determination by the bankruptcy trustee not to pursue the claims and release them back to the plaintiff, the parties entered into a stipulation to abandon arbitration and return the matter to state court. A case management conference was held on February 23, 2022 at which an initial trial date of May 24, 2023 was set, and the parties have agreed to stipulate to mediation in advance of the trial. On October 20, 2022, the parties filed a joint stipulation to continue the trial and certain deadlines related to the mediation in order to allow plaintiff’s counsel to continue to seek treatment for an ongoing medical issue. On November 1, 2022, based on the parties' joint stipulation, the court entered an order continuing the trial date to October 25, 2023, on October 6, 2023, the court entered an order further continuing the trial date to April 24, 2024, and on March 3, 2024, based on an additional joint stipulation of the parties, the court entered an order continuing the trial date to October 23, 2024. On September 4, 2024, due to certain delays in discovery as a result of, among other things, plaintiff's counsel's health complications, the parties filed a joint stipulation to continue the trial and certain deadlines related thereto. On October 9, 2024, based on the parties' joint stipulation, the court entered an order continuing the trial date to April 30, 2025. On January 6, 2025, the Company filed a Motion for Summary Adjudication against plaintiff’s claims for promissory fraud, negligent misrepresentation, and common counts. On February 21, 2025, the parties filed a joint stipulation to continue the trial and certain deadlines related thereto and, on March 12, 2025, the court entered an order continuing the trial date to November 26, 2025. On October 22, 2025, pursuant to an additional joint stipulation to continue the trial and certain deadlines related thereto filed by the parties, the court entered an order continuing the trial date to May 13, 2026. On March 24, 2026, pursuant to an additional joint stipulation to continue the trial and certain deadlines related thereto filed by the parties, the court entered an order continuing the trial date to October 7, 2026. On March 26, 2026, the court granted in part the Company’s motion for summary judgment and dismissed certain of the plaintiff’s asserted claims related to promissory fraud, negligent misrepresentation, breach of employment agreement, and violations of the California Labor Code. On September 1, 2026, pursuant to an additional joint stipulation to continue the trial and certain deadlines related thereto filed by the parties, the court entered an order continuing the trial date to April 14,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believes it has meritorious defenses to the claims alleged in this matter and is defending itself vigorously against such claims. However, at this stage, the Company is unable to predict the outcome and possible loss or range of loss, if any, associated with its resolution or any potential effect the matter may have on the Company’s financial position. Depending on the outcome or resolution of this matter, it could have a material adverse effect on the Company’s business, prospects,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Armistice Complaint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26, 2026, Armistice Capital Master Fund, Ltd. (“Armistice”) filed a lawsuit against the Company and certain of its stockholders in the United States District Court for the Southern District of New York, which was subsequently amended on September 29, 2026 . The complaint asserts that, by obtaining a waiver and consummating the 2026 Registered Direct Offering, the Company breached the Securities Purchase Agreement by and among the Company, Armistice, and the other investors party thereto. The complaint seeks unspecified damages, attorneys’ fees, expert fees, and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believes it has meritorious defenses to Armistice’s claims and intends to vigorously defend itself against such claims. However, at this stage, the Company is unable to predict the outcome and possible loss or range of loss, if any, associated with its resolution or any potential effect the matter may have on the Company’s financial position. Depending on the outcome or resolution of this matter, it could have a material adverse effect on the Company’s business, prospects,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 Stockholders' Equity and Common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2026, the Company had the following warrants outstanding to acquire shares of its common stock:</w:t>
      </w:r>
    </w:p>
    <w:p>
      <w:pPr>
        <w:pStyle w:val="TextBody"/>
        <w:bidi w:val="0"/>
        <w:spacing w:before="0" w:after="0"/>
        <w:ind w:left="0" w:right="0" w:hanging="0"/>
        <w:jc w:val="both"/>
        <w:rPr>
          <w:caps w:val="false"/>
          <w:smallCaps w:val="false"/>
        </w:rPr>
      </w:pPr>
      <w:r>
        <w:rPr>
          <w:caps w:val="false"/>
          <w:smallCaps w:val="false"/>
        </w:rPr>
        <w:t> </w:t>
      </w:r>
    </w:p>
    <w:tbl>
      <w:tblPr>
        <w:tblW w:w="7579" w:type="dxa"/>
        <w:jc w:val="left"/>
        <w:tblInd w:w="0" w:type="dxa"/>
        <w:tblLayout w:type="fixed"/>
        <w:tblCellMar>
          <w:top w:w="0" w:type="dxa"/>
          <w:left w:w="0" w:type="dxa"/>
          <w:bottom w:w="0" w:type="dxa"/>
          <w:right w:w="0" w:type="dxa"/>
        </w:tblCellMar>
      </w:tblPr>
      <w:tblGrid>
        <w:gridCol w:w="3575"/>
        <w:gridCol w:w="60"/>
        <w:gridCol w:w="69"/>
        <w:gridCol w:w="986"/>
        <w:gridCol w:w="60"/>
        <w:gridCol w:w="60"/>
        <w:gridCol w:w="261"/>
        <w:gridCol w:w="1018"/>
        <w:gridCol w:w="60"/>
        <w:gridCol w:w="1430"/>
      </w:tblGrid>
      <w:tr>
        <w:tc>
          <w:tcPr>
            <w:tcW w:w="35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price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ind w:left="0" w:right="0" w:hanging="0"/>
              <w:jc w:val="left"/>
            </w:pPr>
            <w:r>
              <w:t> </w:t>
            </w:r>
          </w:p>
        </w:tc>
        <w:tc>
          <w:tcPr>
            <w:tcW w:w="143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 dates</w:t>
            </w:r>
          </w:p>
        </w:tc>
      </w:tr>
      <w:t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Diffusion common stock warrants</w:t>
            </w:r>
          </w:p>
        </w:tc>
        <w:tc>
          <w:tcPr>
            <w:tcW w:w="60"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ind w:left="0" w:right="0" w:hanging="0"/>
              <w:jc w:val="left"/>
            </w:pPr>
            <w: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60" w:type="dxa"/>
            <w:tcBorders/>
            <w:shd w:fill="CCEEFF" w:val="clear"/>
            <w:vAlign w:val="center"/>
          </w:tcPr>
          <w:p>
            <w:pPr>
              <w:pStyle w:val="TableContents"/>
              <w:bidi w:val="0"/>
              <w:spacing w:before="0" w:after="283"/>
              <w:ind w:left="0" w:right="0" w:hanging="0"/>
              <w:jc w:val="left"/>
            </w:pPr>
            <w:r>
              <w:t> </w:t>
            </w:r>
          </w:p>
        </w:tc>
        <w:tc>
          <w:tcPr>
            <w:tcW w:w="14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2028</w:t>
            </w:r>
          </w:p>
        </w:tc>
      </w:tr>
      <w:t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Warrants</w:t>
            </w:r>
          </w:p>
        </w:tc>
        <w:tc>
          <w:tcPr>
            <w:tcW w:w="60"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ind w:left="0" w:right="0" w:hanging="0"/>
              <w:jc w:val="left"/>
            </w:pPr>
            <w: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2,532,285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w:t>
            </w:r>
          </w:p>
        </w:tc>
        <w:tc>
          <w:tcPr>
            <w:tcW w:w="60" w:type="dxa"/>
            <w:tcBorders/>
            <w:shd w:fill="FFFFFF" w:val="clear"/>
            <w:vAlign w:val="center"/>
          </w:tcPr>
          <w:p>
            <w:pPr>
              <w:pStyle w:val="TableContents"/>
              <w:bidi w:val="0"/>
              <w:spacing w:before="0" w:after="283"/>
              <w:ind w:left="0" w:right="0" w:hanging="0"/>
              <w:jc w:val="left"/>
            </w:pPr>
            <w:r>
              <w:t> </w:t>
            </w:r>
          </w:p>
        </w:tc>
        <w:tc>
          <w:tcPr>
            <w:tcW w:w="14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2027</w:t>
            </w:r>
          </w:p>
        </w:tc>
      </w:tr>
      <w:t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B Warrants</w:t>
            </w:r>
          </w:p>
        </w:tc>
        <w:tc>
          <w:tcPr>
            <w:tcW w:w="60" w:type="dxa"/>
            <w:tcBorders/>
            <w:shd w:fill="CCEEFF" w:val="clear"/>
            <w:vAlign w:val="center"/>
          </w:tcPr>
          <w:p>
            <w:pPr>
              <w:pStyle w:val="TableContents"/>
              <w:bidi w:val="0"/>
              <w:spacing w:before="0" w:after="283"/>
              <w:jc w:val="left"/>
            </w:pPr>
            <w:r>
              <w:t> </w:t>
            </w:r>
          </w:p>
        </w:tc>
        <w:tc>
          <w:tcPr>
            <w:tcW w:w="69" w:type="dxa"/>
            <w:tcBorders/>
            <w:shd w:fill="CCEEFF" w:val="clear"/>
            <w:vAlign w:val="center"/>
          </w:tcPr>
          <w:p>
            <w:pPr>
              <w:pStyle w:val="TableContents"/>
              <w:bidi w:val="0"/>
              <w:spacing w:before="0" w:after="283"/>
              <w:ind w:left="0" w:right="0" w:hanging="0"/>
              <w:jc w:val="left"/>
            </w:pPr>
            <w: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3,360,377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60" w:type="dxa"/>
            <w:tcBorders/>
            <w:shd w:fill="CCEEFF" w:val="clear"/>
            <w:vAlign w:val="center"/>
          </w:tcPr>
          <w:p>
            <w:pPr>
              <w:pStyle w:val="TableContents"/>
              <w:bidi w:val="0"/>
              <w:spacing w:before="0" w:after="283"/>
              <w:ind w:left="0" w:right="0" w:hanging="0"/>
              <w:jc w:val="left"/>
            </w:pPr>
            <w:r>
              <w:t> </w:t>
            </w:r>
          </w:p>
        </w:tc>
        <w:tc>
          <w:tcPr>
            <w:tcW w:w="14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2031</w:t>
            </w:r>
          </w:p>
        </w:tc>
      </w:tr>
      <w:t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C Warrants</w:t>
            </w:r>
          </w:p>
        </w:tc>
        <w:tc>
          <w:tcPr>
            <w:tcW w:w="60"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ind w:left="0" w:right="0" w:hanging="0"/>
              <w:jc w:val="left"/>
            </w:pPr>
            <w: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3,360,377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60" w:type="dxa"/>
            <w:tcBorders/>
            <w:shd w:fill="FFFFFF" w:val="clear"/>
            <w:vAlign w:val="center"/>
          </w:tcPr>
          <w:p>
            <w:pPr>
              <w:pStyle w:val="TableContents"/>
              <w:bidi w:val="0"/>
              <w:spacing w:before="0" w:after="283"/>
              <w:ind w:left="0" w:right="0" w:hanging="0"/>
              <w:jc w:val="left"/>
            </w:pPr>
            <w:r>
              <w:t> </w:t>
            </w:r>
          </w:p>
        </w:tc>
        <w:tc>
          <w:tcPr>
            <w:tcW w:w="14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2027</w:t>
            </w:r>
          </w:p>
        </w:tc>
      </w:tr>
      <w:t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Placement Agent Warrants</w:t>
            </w:r>
          </w:p>
        </w:tc>
        <w:tc>
          <w:tcPr>
            <w:tcW w:w="60" w:type="dxa"/>
            <w:tcBorders/>
            <w:shd w:fill="CCEEFF" w:val="clear"/>
            <w:vAlign w:val="center"/>
          </w:tcPr>
          <w:p>
            <w:pPr>
              <w:pStyle w:val="TableContents"/>
              <w:bidi w:val="0"/>
              <w:spacing w:before="0" w:after="283"/>
              <w:jc w:val="left"/>
            </w:pPr>
            <w: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ind w:left="0" w:right="0" w:hanging="0"/>
              <w:jc w:val="left"/>
            </w:pPr>
            <w:r>
              <w:t> </w:t>
            </w:r>
          </w:p>
        </w:tc>
        <w:tc>
          <w:tcPr>
            <w:tcW w:w="14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2031</w:t>
            </w:r>
          </w:p>
        </w:tc>
      </w:tr>
      <w:tr>
        <w:tc>
          <w:tcPr>
            <w:tcW w:w="35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9,446,657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1" w:type="dxa"/>
            <w:tcBorders/>
            <w:shd w:fill="FFFFFF" w:val="clear"/>
            <w:vAlign w:val="center"/>
          </w:tcPr>
          <w:p>
            <w:pPr>
              <w:pStyle w:val="TableContents"/>
              <w:bidi w:val="0"/>
              <w:spacing w:before="0" w:after="283"/>
              <w:jc w:val="left"/>
            </w:pPr>
            <w:r>
              <w:t> </w:t>
            </w:r>
          </w:p>
        </w:tc>
        <w:tc>
          <w:tcPr>
            <w:tcW w:w="1018"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143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May 2025 At-The-Market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12, 2025, the Company entered into the Sales Agreement with Leerink Partners LLC, as sales agent, pursuant to which the Company may offer and sell shares of common stock from time-to-time with an aggregate offering price of up to $50.0 million under an “at-the-market" offering program. During the nine months ended September 30, 2025, the Company sold 550,000 shares of common stock to an institutional investor in a block sale for gross proceeds of $4.7 million before deducting $0.1 million of issuance costs. There was no activity during the three months ended September 30, 2025. There was no activity related to the Sales Agreement during the three or nine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2026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9, 2026, the Company entered into the Securities Purchase Agreement with certain accredited investors for the private placement of an aggregate of 3,360,377 units at a purchase price of $3.14 per unit (or $3.139 per unit including a 2026 Pre-Funded Warrant in lieu of common stock). Each unit consisted of one share of common stock (or, in lieu thereof at the purchaser's election, one 2026 Pre-Funded Warrant) together with one Series B Warrant and one Series C Warrant to purchase one share of common stock (or a pre-funded warrant in lieu thereof). Aggregate gross proceeds from the 2026 Private Placement were approximately $10.5 million, before deducting approximately $1.1 million of offering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2026 Private Placement was completed on June 11, 2026. Based on investors' elections, at closing, the Company issued an aggregate of 1,767,514 shares of common stock and an aggregate of 2026 Pre-Funded Warrants to purchase 1,592,863 shares of common stock. The Series B Warrants have an exercise price of $3.32 per share (or $3.319 per share if exercised for a pre-funded warrant), are immediately exercisable, and expire on June 11, 2031. The Series C Warrants have an exercise price of $3.14 per share (or $3.139 per share if exercised for a pre-funded warrant), are immediately exercisable, and expire on June 11, 2027. In July 2026, the 2026 Pre-Funded Warrants were exercised in full for cash, resulting in the issuance of 1,592,863 shares of common stock and aggregate proceeds to the Company of approximately $1,593.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net proceeds from the 2026 Private Placement were recorded within additional paid-in capital, with the common stock at its $0.001 par value. The 2026 Pre-Funded Warrants, Series B Warrants, and Series C Warrants were, in each case, classified as a component of stockholders’ equity within additional paid-in capital. Each class of warrants is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otherwise meet the equity classification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2026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18, 2026, the Company entered into a securities purchase agreement with certain investors in connection with a registered direct offering of 2,500,000 shares of common stock at a purchase price of $4.00 per share. Aggregate gross proceeds from the 2026 Registered Direct Offering were approximately $10.0 million, before deducting approximately $0.9 million of offering fees and expenses. In addition, as compensation, the Company issued warrants to purchase up to 150,000 shares of common stock (or pre-funded warrants above a beneficial ownership cap) to the placement agent in the 2026 Registered Direct Offering. The Placement Agent Warrants have an exercise price of $5.00 per share, are immediately exercisable, and expire on June 18, 2031. The Placement Agent Warrants are classified within stockholders' equity, and their issuance-date fair value of approximately $0.3 million, estimated using a Black-Scholes option-pricing model, was recorded as an additional cost of the offering through a charge to additional paid-in capital and an offsetting credit to additional paid-in capital, with no net effect on total stockholders' equity. The 2026 Registered Direct Offering was completed on 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net proceeds from the 2026 Registered Direct Offering were recorded within additional paid-in capital, with the common stock at its $0.001 par value. As the Placement Agent Warrants were issued to the placement agent as compensation for services rendered in connection with the 2026 Registered Direct Offering, they are accounted for under ASC 718 and therefore classified as a component of stockholders’ equity within additional paid-in capital. The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otherwise meet the equity classification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2015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2015, the Company’s stockholders approved the 2015 Equity Plan, pursuant to which the Company previously issued incentive stock options, non-qualified stock options, stock grants, and other stock-based awards to employees, directors, and consultants, as specified in the 2015 Equity Plan and subject to applicable SEC and Nasdaq rules and regulations. The 2015 Equity Plan provided for increases to the number of shares reserved for issuance thereunder each January 1 equal to 4.0% of the total shares of the Company’s common stock outstanding as of the immediately preceding December 31, unless a lesser amount is stipulated by the Compensation Committee of the Company’s Board. On January 1, 2025, the number of shares available for future issuance under the 2015 Equity Plan increased by 348,109. As of June 30, 2025, the term of the 2015 Equity Plan had expired and no additional shares may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2018 Employee, Director and Consultant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28, 2018, EIP adopted the 2018 Plan, which was assumed by the Company pursuant to and in accordance with the terms of the Merger Agreement. Under the 2018 Plan, the Company previously issued incentive stock options, non-qualified stock options, stock grants, and other stock-based awards to employees, directors, and consultants, as specified in the 2018 Plan and subject to applicable SEC and Nasdaq rules and regulations. The Board has the authority to determine to whom options or stock will be granted, the number of shares, the term, and the exercise price. Options granted under the 2018 Plan have a term of up to ten years and generally vest over a four-year period with 25% of the options vesting after one-year of service and the remainder vesting monthly thereafter. As of September 30, 2026, there were no shares available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Inducement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2025, the Company granted stock options to purchase an aggregate of 129,000 shares of common stock as material inducements to the employment of two new employees, in each case, in accordance with Nasdaq Listing Rule 5635(c)(4). Each such inducement option has a term of ten years and vests over a 36-month period commencing on the last day of the month in which the grant date occurred (subject to the employee's continued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such grants have been made during the three or nine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2025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14, 2025, the Board approved the 2025 Equity Plan, and the 2025 Equity Plan was subsequently approved by the Company's stockholders at its 2025 Annual Meeting of Stockholders on June 23, 2025. On June 8, 2026, the Company's stockholders approved Amendment No. 1 to the 2025 Equity Plan, which increased the aggregate number of shares of common stock reserved for issuance under the 2025 Equity Plan by 2,000,000. As of September 30, 2026, there were 2,395,212 shares available for future issuance under the 2025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stock-based compensation expense in the following expense categories of its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7482" w:type="dxa"/>
        <w:jc w:val="left"/>
        <w:tblInd w:w="0" w:type="dxa"/>
        <w:tblLayout w:type="fixed"/>
        <w:tblCellMar>
          <w:top w:w="0" w:type="dxa"/>
          <w:left w:w="0" w:type="dxa"/>
          <w:bottom w:w="0" w:type="dxa"/>
          <w:right w:w="0" w:type="dxa"/>
        </w:tblCellMar>
      </w:tblPr>
      <w:tblGrid>
        <w:gridCol w:w="3350"/>
        <w:gridCol w:w="60"/>
        <w:gridCol w:w="130"/>
        <w:gridCol w:w="724"/>
        <w:gridCol w:w="62"/>
        <w:gridCol w:w="62"/>
        <w:gridCol w:w="130"/>
        <w:gridCol w:w="724"/>
        <w:gridCol w:w="60"/>
        <w:gridCol w:w="60"/>
        <w:gridCol w:w="125"/>
        <w:gridCol w:w="845"/>
        <w:gridCol w:w="60"/>
        <w:gridCol w:w="60"/>
        <w:gridCol w:w="125"/>
        <w:gridCol w:w="845"/>
        <w:gridCol w:w="60"/>
      </w:tblGrid>
      <w:tr>
        <w:tc>
          <w:tcPr>
            <w:tcW w:w="33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pPr>
            <w:r>
              <w:t> </w:t>
            </w:r>
          </w:p>
        </w:tc>
      </w:tr>
      <w:tr>
        <w:tc>
          <w:tcPr>
            <w:tcW w:w="33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2" w:type="dxa"/>
            <w:tcBorders/>
            <w:vAlign w:val="center"/>
          </w:tcPr>
          <w:p>
            <w:pPr>
              <w:pStyle w:val="TableContents"/>
              <w:bidi w:val="0"/>
              <w:spacing w:before="0" w:after="283"/>
              <w:jc w:val="left"/>
            </w:pPr>
            <w:r>
              <w:t> </w:t>
            </w:r>
          </w:p>
        </w:tc>
        <w:tc>
          <w:tcPr>
            <w:tcW w:w="62" w:type="dxa"/>
            <w:tcBorders/>
            <w:vAlign w:val="center"/>
          </w:tcPr>
          <w:p>
            <w:pPr>
              <w:pStyle w:val="TableContents"/>
              <w:bidi w:val="0"/>
              <w:spacing w:before="0" w:after="283"/>
              <w:ind w:left="0" w:right="0" w:hanging="0"/>
              <w:jc w:val="left"/>
            </w:pPr>
            <w:r>
              <w:t> </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pPr>
            <w:r>
              <w:t> </w:t>
            </w:r>
          </w:p>
        </w:tc>
      </w:tr>
      <w:t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108,894</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133,169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372,779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378,030</w:t>
            </w:r>
          </w:p>
        </w:tc>
        <w:tc>
          <w:tcPr>
            <w:tcW w:w="60" w:type="dxa"/>
            <w:tcBorders/>
            <w:shd w:fill="CCEEFF" w:val="clear"/>
            <w:vAlign w:val="center"/>
          </w:tcPr>
          <w:p>
            <w:pPr>
              <w:pStyle w:val="TableContents"/>
              <w:bidi w:val="0"/>
              <w:spacing w:before="0" w:after="283"/>
              <w:jc w:val="left"/>
            </w:pPr>
            <w:r>
              <w:t> </w:t>
            </w:r>
          </w:p>
        </w:tc>
      </w:tr>
      <w:t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198,551</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158,548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646,137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771,869</w:t>
            </w:r>
          </w:p>
        </w:tc>
        <w:tc>
          <w:tcPr>
            <w:tcW w:w="60" w:type="dxa"/>
            <w:tcBorders/>
            <w:shd w:fill="FFFFFF" w:val="clear"/>
            <w:vAlign w:val="center"/>
          </w:tcPr>
          <w:p>
            <w:pPr>
              <w:pStyle w:val="TableContents"/>
              <w:bidi w:val="0"/>
              <w:spacing w:before="0" w:after="283"/>
              <w:jc w:val="left"/>
            </w:pPr>
            <w:r>
              <w:t> </w:t>
            </w:r>
          </w:p>
        </w:tc>
      </w:tr>
      <w:t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307,445</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291,717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1,018,916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1,149,899</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activity related to all stock option grants for the nine months ended September 30, 2026:</w:t>
      </w:r>
    </w:p>
    <w:p>
      <w:pPr>
        <w:pStyle w:val="TextBody"/>
        <w:bidi w:val="0"/>
        <w:spacing w:before="0" w:after="0"/>
        <w:ind w:left="0" w:right="0" w:hanging="0"/>
        <w:jc w:val="both"/>
        <w:rPr>
          <w:caps w:val="false"/>
          <w:smallCaps w:val="false"/>
        </w:rPr>
      </w:pPr>
      <w:r>
        <w:rPr>
          <w:caps w:val="false"/>
          <w:smallCaps w:val="false"/>
        </w:rPr>
        <w:t> </w:t>
      </w:r>
    </w:p>
    <w:tbl>
      <w:tblPr>
        <w:tblW w:w="8036" w:type="dxa"/>
        <w:jc w:val="left"/>
        <w:tblInd w:w="0" w:type="dxa"/>
        <w:tblLayout w:type="fixed"/>
        <w:tblCellMar>
          <w:top w:w="0" w:type="dxa"/>
          <w:left w:w="0" w:type="dxa"/>
          <w:bottom w:w="0" w:type="dxa"/>
          <w:right w:w="0" w:type="dxa"/>
        </w:tblCellMar>
      </w:tblPr>
      <w:tblGrid>
        <w:gridCol w:w="2885"/>
        <w:gridCol w:w="60"/>
        <w:gridCol w:w="60"/>
        <w:gridCol w:w="859"/>
        <w:gridCol w:w="80"/>
        <w:gridCol w:w="60"/>
        <w:gridCol w:w="207"/>
        <w:gridCol w:w="982"/>
        <w:gridCol w:w="60"/>
        <w:gridCol w:w="60"/>
        <w:gridCol w:w="234"/>
        <w:gridCol w:w="1075"/>
        <w:gridCol w:w="60"/>
        <w:gridCol w:w="60"/>
        <w:gridCol w:w="230"/>
        <w:gridCol w:w="1004"/>
        <w:gridCol w:w="60"/>
      </w:tblGrid>
      <w:tr>
        <w:tc>
          <w:tcPr>
            <w:tcW w:w="28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 life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years)</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 value</w:t>
            </w:r>
          </w:p>
        </w:tc>
        <w:tc>
          <w:tcPr>
            <w:tcW w:w="60" w:type="dxa"/>
            <w:tcBorders/>
            <w:vAlign w:val="center"/>
          </w:tcPr>
          <w:p>
            <w:pPr>
              <w:pStyle w:val="TableContents"/>
              <w:bidi w:val="0"/>
              <w:spacing w:before="0" w:after="283"/>
              <w:jc w:val="left"/>
            </w:pPr>
            <w:r>
              <w:t> </w:t>
            </w:r>
          </w:p>
        </w:tc>
      </w:tr>
      <w:t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992,701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ind w:left="0" w:right="0" w:hanging="0"/>
              <w:jc w:val="left"/>
            </w:pPr>
            <w: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1004" w:type="dxa"/>
            <w:tcBorders/>
            <w:shd w:fill="CCEEFF" w:val="clear"/>
            <w:vAlign w:val="center"/>
          </w:tcPr>
          <w:p>
            <w:pPr>
              <w:pStyle w:val="TableContents"/>
              <w:bidi w:val="0"/>
              <w:spacing w:before="0" w:after="283"/>
              <w:jc w:val="center"/>
            </w:pPr>
            <w:r>
              <w:t> </w:t>
            </w:r>
          </w:p>
        </w:tc>
        <w:tc>
          <w:tcPr>
            <w:tcW w:w="60" w:type="dxa"/>
            <w:tcBorders/>
            <w:shd w:fill="CCEEFF" w:val="clear"/>
            <w:vAlign w:val="center"/>
          </w:tcPr>
          <w:p>
            <w:pPr>
              <w:pStyle w:val="TableContents"/>
              <w:bidi w:val="0"/>
              <w:spacing w:before="0" w:after="283"/>
              <w:jc w:val="left"/>
            </w:pPr>
            <w:r>
              <w:t> </w:t>
            </w:r>
          </w:p>
        </w:tc>
      </w:tr>
      <w:t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356,350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1075"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1004"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r>
      <w:t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1075"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1004"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r>
      <w:t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jc w:val="left"/>
            </w:pPr>
            <w:r>
              <w:t> </w:t>
            </w:r>
          </w:p>
        </w:tc>
        <w:tc>
          <w:tcPr>
            <w:tcW w:w="1075"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1004"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r>
      <w:t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jc w:val="left"/>
            </w:pPr>
            <w:r>
              <w:t> </w:t>
            </w:r>
          </w:p>
        </w:tc>
        <w:tc>
          <w:tcPr>
            <w:tcW w:w="1075"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1004"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r>
      <w:t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September 30, 2026</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1,301,359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ind w:left="0" w:right="0" w:hanging="0"/>
              <w:jc w:val="left"/>
            </w:pPr>
            <w: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ind w:left="0" w:right="0" w:hanging="0"/>
              <w:jc w:val="left"/>
            </w:pPr>
            <w:r>
              <w:t> </w:t>
            </w:r>
          </w:p>
        </w:tc>
        <w:tc>
          <w:tcPr>
            <w:tcW w:w="100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September 30, 2026</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840,508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shd w:fill="CCEEFF" w:val="clear"/>
            <w:vAlign w:val="center"/>
          </w:tcPr>
          <w:p>
            <w:pPr>
              <w:pStyle w:val="TableContents"/>
              <w:bidi w:val="0"/>
              <w:spacing w:before="0" w:after="283"/>
              <w:ind w:left="0" w:right="0" w:hanging="0"/>
              <w:jc w:val="left"/>
            </w:pPr>
            <w: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ind w:left="0" w:right="0" w:hanging="0"/>
              <w:jc w:val="left"/>
            </w:pPr>
            <w:r>
              <w:t> </w:t>
            </w:r>
          </w:p>
        </w:tc>
        <w:tc>
          <w:tcPr>
            <w:tcW w:w="100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Black-Scholes option pricing model was used to estimate the grant date fair value of each stock option grant at the time of grant using the following weighted-average assumptions: </w:t>
      </w:r>
    </w:p>
    <w:p>
      <w:pPr>
        <w:pStyle w:val="TextBody"/>
        <w:bidi w:val="0"/>
        <w:spacing w:before="0" w:after="0"/>
        <w:ind w:left="0" w:right="0" w:hanging="0"/>
        <w:jc w:val="both"/>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2000"/>
        <w:gridCol w:w="60"/>
        <w:gridCol w:w="65"/>
        <w:gridCol w:w="529"/>
        <w:gridCol w:w="87"/>
        <w:gridCol w:w="709"/>
        <w:gridCol w:w="65"/>
        <w:gridCol w:w="65"/>
        <w:gridCol w:w="65"/>
        <w:gridCol w:w="529"/>
        <w:gridCol w:w="87"/>
        <w:gridCol w:w="709"/>
        <w:gridCol w:w="75"/>
      </w:tblGrid>
      <w:tr>
        <w:tc>
          <w:tcPr>
            <w:tcW w:w="20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91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75"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9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5" w:type="dxa"/>
            <w:tcBorders/>
            <w:vAlign w:val="center"/>
          </w:tcPr>
          <w:p>
            <w:pPr>
              <w:pStyle w:val="TableContents"/>
              <w:bidi w:val="0"/>
              <w:spacing w:before="0" w:after="283"/>
              <w:jc w:val="left"/>
            </w:pPr>
            <w:r>
              <w:t> </w:t>
            </w:r>
          </w:p>
        </w:tc>
        <w:tc>
          <w:tcPr>
            <w:tcW w:w="65" w:type="dxa"/>
            <w:tcBorders/>
            <w:vAlign w:val="center"/>
          </w:tcPr>
          <w:p>
            <w:pPr>
              <w:pStyle w:val="TableContents"/>
              <w:bidi w:val="0"/>
              <w:spacing w:before="0" w:after="283"/>
              <w:ind w:left="0" w:right="0" w:hanging="0"/>
              <w:jc w:val="left"/>
            </w:pPr>
            <w:r>
              <w:t> </w:t>
            </w:r>
          </w:p>
        </w:tc>
        <w:tc>
          <w:tcPr>
            <w:tcW w:w="139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pPr>
            <w:r>
              <w:t> </w:t>
            </w:r>
          </w:p>
        </w:tc>
      </w:tr>
      <w:t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5.75</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5.76</w:t>
            </w:r>
          </w:p>
        </w:tc>
        <w:tc>
          <w:tcPr>
            <w:tcW w:w="75" w:type="dxa"/>
            <w:tcBorders/>
            <w:shd w:fill="CCEEFF" w:val="clear"/>
            <w:vAlign w:val="center"/>
          </w:tcPr>
          <w:p>
            <w:pPr>
              <w:pStyle w:val="TableContents"/>
              <w:bidi w:val="0"/>
              <w:spacing w:before="0" w:after="283"/>
              <w:jc w:val="left"/>
            </w:pPr>
            <w:r>
              <w:t> </w:t>
            </w:r>
          </w:p>
        </w:tc>
      </w:tr>
      <w:t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8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4.31%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4.35%</w:t>
            </w:r>
          </w:p>
        </w:tc>
        <w:tc>
          <w:tcPr>
            <w:tcW w:w="75" w:type="dxa"/>
            <w:tcBorders/>
            <w:shd w:fill="FFFFFF" w:val="clear"/>
            <w:vAlign w:val="center"/>
          </w:tcPr>
          <w:p>
            <w:pPr>
              <w:pStyle w:val="TableContents"/>
              <w:bidi w:val="0"/>
              <w:spacing w:before="0" w:after="283"/>
              <w:jc w:val="left"/>
            </w:pPr>
            <w:r>
              <w:t> </w:t>
            </w:r>
          </w:p>
        </w:tc>
      </w:tr>
      <w:t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67.99</w:t>
            </w:r>
          </w:p>
        </w:tc>
        <w:tc>
          <w:tcPr>
            <w:tcW w:w="8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69.73%</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ind w:left="0" w:right="0" w:hanging="0"/>
              <w:jc w:val="left"/>
            </w:pPr>
            <w:r>
              <w:t> </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71.55</w:t>
            </w:r>
          </w:p>
        </w:tc>
        <w:tc>
          <w:tcPr>
            <w:tcW w:w="8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76.68%</w:t>
            </w:r>
          </w:p>
        </w:tc>
        <w:tc>
          <w:tcPr>
            <w:tcW w:w="75" w:type="dxa"/>
            <w:tcBorders/>
            <w:shd w:fill="CCEEFF" w:val="clear"/>
            <w:vAlign w:val="center"/>
          </w:tcPr>
          <w:p>
            <w:pPr>
              <w:pStyle w:val="TableContents"/>
              <w:bidi w:val="0"/>
              <w:spacing w:before="0" w:after="283"/>
              <w:jc w:val="left"/>
            </w:pPr>
            <w:r>
              <w:t> </w:t>
            </w:r>
          </w:p>
        </w:tc>
      </w:tr>
      <w:t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325" w:type="dxa"/>
            <w:gridSpan w:val="3"/>
            <w:tcBorders/>
            <w:shd w:fill="FFFFFF" w:val="clear"/>
            <w:vAlign w:val="center"/>
          </w:tcPr>
          <w:p>
            <w:pPr>
              <w:pStyle w:val="TableContents"/>
              <w:bidi w:val="0"/>
              <w:spacing w:before="0" w:after="283"/>
              <w:ind w:left="0" w:right="0" w:hanging="0"/>
              <w:jc w:val="center"/>
            </w:pPr>
            <w:r>
              <w:t>—</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325" w:type="dxa"/>
            <w:gridSpan w:val="3"/>
            <w:tcBorders/>
            <w:shd w:fill="FFFFFF" w:val="clear"/>
            <w:vAlign w:val="center"/>
          </w:tcPr>
          <w:p>
            <w:pPr>
              <w:pStyle w:val="TableContents"/>
              <w:bidi w:val="0"/>
              <w:spacing w:before="0" w:after="283"/>
              <w:ind w:left="0" w:right="0" w:hanging="0"/>
              <w:jc w:val="center"/>
            </w:pPr>
            <w:r>
              <w:t>—</w:t>
            </w:r>
          </w:p>
        </w:tc>
        <w:tc>
          <w:tcPr>
            <w:tcW w:w="75"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September 30, 2026, there was $1.6 million of unrecognized compensation expense that will be recognized over a weighted-average period of 1.8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14, 2025, the Board approved a separation agreement with the Company’s former Chief Operating Officer, pursuant to which the executive's employment with the Company concluded effective July 1, 2025. Based on the terms of his separation agreement, unvested shares under previously granted option awards will continue to vest on the schedule provided for in the applicable option award agreement through September 30, 2026. The Company accounted for the change in vesting terms of his unvested stock options as an improbable-to-probable modification of his stock options and recognized $0.1 million and $0.2 million of expense in relation to this modification during the three and nine months ended September 30, 2025, respectively. In addition, the exercise period for any shares under previously granted option awards vested as of April 14, 2025 was extended to September 30, 2026. The Company accounted for the change in exercise terms as probable-to-probable modification of his stock options and recognized $0.1 million of expense in relation to this modification during the nine months ended September 30, 2025. There was no expense recognized related to the modification during the three or nine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segments are defined as components of an enterprise about which separate discrete information is available for evaluation by the CODM, or decision-making group, in deciding how to allocate resources in assessing performance. CervoMed Inc. has one reportable segment which consists of clinical trials and nonclinical studies related to the development of product candidates for treatments for age-related neurologic disorders and other medical indications. The Company’s CODM is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accounting policies of the Company’s single segment are the same as those described in the summary of significant accounting policies. To date, the Company has not generated any product revenue. The Company expects to continue to incur significant expenses and operating losses for the foreseeable future as it advances product candidates through all stages of development and clinical trials and, ultimately, seeks regulatory approval. The CODM assesses the financial performance for the Company's segment based on net loss. The CODM also uses internal budget versus forecasted expense and cash forecast models in making certain decisions. Such models are reviewed to assess the entity-wide/single-segment operating results and performance, including how long cash-on-hand is expected to be sufficient. The measure of segment assets is reported on the consolidated balance sheet as total assets. The segment measure of loss is reported on the condensed consolidated interim statement of operations and comprehensive loss as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summarizes the significant expense categories regularly reviewed by the CODM for the three and nine months ended September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5"/>
        <w:gridCol w:w="60"/>
        <w:gridCol w:w="125"/>
        <w:gridCol w:w="905"/>
        <w:gridCol w:w="80"/>
        <w:gridCol w:w="60"/>
        <w:gridCol w:w="125"/>
        <w:gridCol w:w="905"/>
        <w:gridCol w:w="80"/>
        <w:gridCol w:w="60"/>
        <w:gridCol w:w="125"/>
        <w:gridCol w:w="1010"/>
        <w:gridCol w:w="80"/>
        <w:gridCol w:w="60"/>
        <w:gridCol w:w="125"/>
        <w:gridCol w:w="1010"/>
        <w:gridCol w:w="80"/>
      </w:tblGrid>
      <w:tr>
        <w:tc>
          <w:tcPr>
            <w:tcW w:w="531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2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pPr>
            <w:r>
              <w:t> </w:t>
            </w:r>
          </w:p>
        </w:tc>
      </w:tr>
      <w:tr>
        <w:tc>
          <w:tcPr>
            <w:tcW w:w="531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r>
      <w:t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3,997,784</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1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1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Dementia with Lewy bodies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234,368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1,680,922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1,403,728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5,866,430</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Frontotemporal disorders (incl. nfvPPA)</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460,118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313,438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1,423,969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846,664</w:t>
            </w:r>
          </w:p>
        </w:tc>
        <w:tc>
          <w:tcPr>
            <w:tcW w:w="80" w:type="dxa"/>
            <w:tcBorders/>
            <w:shd w:fill="FFFFFF" w:val="clear"/>
            <w:vAlign w:val="center"/>
          </w:tcPr>
          <w:p>
            <w:pPr>
              <w:pStyle w:val="TableContents"/>
              <w:bidi w:val="0"/>
              <w:spacing w:before="0" w:after="283"/>
              <w:jc w:val="left"/>
            </w:pPr>
            <w:r>
              <w:t> </w:t>
            </w:r>
          </w:p>
        </w:tc>
      </w:tr>
      <w:t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after stroke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240,294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396,635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1,140,832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952,338</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clinical* and nonclinical</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739,149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485,586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2,208,816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1,505,726</w:t>
            </w:r>
          </w:p>
        </w:tc>
        <w:tc>
          <w:tcPr>
            <w:tcW w:w="80" w:type="dxa"/>
            <w:tcBorders/>
            <w:shd w:fill="FFFFFF" w:val="clear"/>
            <w:vAlign w:val="center"/>
          </w:tcPr>
          <w:p>
            <w:pPr>
              <w:pStyle w:val="TableContents"/>
              <w:bidi w:val="0"/>
              <w:spacing w:before="0" w:after="283"/>
              <w:jc w:val="left"/>
            </w:pPr>
            <w:r>
              <w:t> </w:t>
            </w:r>
          </w:p>
        </w:tc>
      </w:tr>
      <w:t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948,397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1,767,086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2,800,235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4,060,722</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108,894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133,169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372,779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378,030</w:t>
            </w:r>
          </w:p>
        </w:tc>
        <w:tc>
          <w:tcPr>
            <w:tcW w:w="80" w:type="dxa"/>
            <w:tcBorders/>
            <w:shd w:fill="FFFFFF" w:val="clear"/>
            <w:vAlign w:val="center"/>
          </w:tcPr>
          <w:p>
            <w:pPr>
              <w:pStyle w:val="TableContents"/>
              <w:bidi w:val="0"/>
              <w:spacing w:before="0" w:after="283"/>
              <w:jc w:val="left"/>
            </w:pPr>
            <w:r>
              <w:t> </w:t>
            </w:r>
          </w:p>
        </w:tc>
      </w:tr>
      <w:t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expenses, including CMC**</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947,297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1,263,606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3,785,349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2,376,955</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 expenses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3,678,517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6,040,442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13,135,708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15,986,865</w:t>
            </w:r>
          </w:p>
        </w:tc>
        <w:tc>
          <w:tcPr>
            <w:tcW w:w="80" w:type="dxa"/>
            <w:tcBorders/>
            <w:shd w:fill="FFFFFF" w:val="clear"/>
            <w:vAlign w:val="center"/>
          </w:tcPr>
          <w:p>
            <w:pPr>
              <w:pStyle w:val="TableContents"/>
              <w:bidi w:val="0"/>
              <w:spacing w:before="0" w:after="283"/>
              <w:jc w:val="left"/>
            </w:pPr>
            <w:r>
              <w:t> </w:t>
            </w:r>
          </w:p>
        </w:tc>
      </w:tr>
      <w:t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1,132,068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1,087,467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3,578,602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3,797,765</w:t>
            </w:r>
          </w:p>
        </w:tc>
        <w:tc>
          <w:tcPr>
            <w:tcW w:w="80" w:type="dxa"/>
            <w:tcBorders/>
            <w:shd w:fill="FFFFFF" w:val="clear"/>
            <w:vAlign w:val="center"/>
          </w:tcPr>
          <w:p>
            <w:pPr>
              <w:pStyle w:val="TableContents"/>
              <w:bidi w:val="0"/>
              <w:spacing w:before="0" w:after="283"/>
              <w:jc w:val="left"/>
            </w:pPr>
            <w:r>
              <w:t> </w:t>
            </w:r>
          </w:p>
        </w:tc>
      </w:tr>
      <w:t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158,548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646,137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771,869</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742,675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711,307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2,504,542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2,053,984</w:t>
            </w:r>
          </w:p>
        </w:tc>
        <w:tc>
          <w:tcPr>
            <w:tcW w:w="80" w:type="dxa"/>
            <w:tcBorders/>
            <w:shd w:fill="FFFFFF" w:val="clear"/>
            <w:vAlign w:val="center"/>
          </w:tcPr>
          <w:p>
            <w:pPr>
              <w:pStyle w:val="TableContents"/>
              <w:bidi w:val="0"/>
              <w:spacing w:before="0" w:after="283"/>
              <w:jc w:val="left"/>
            </w:pPr>
            <w:r>
              <w:t> </w:t>
            </w:r>
          </w:p>
        </w:tc>
      </w:tr>
      <w:t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taxes and similar fees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217,035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258,032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652,639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917,616</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 including IT, facilities, supplies and similar costs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136,104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110,972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376,397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433,043</w:t>
            </w:r>
          </w:p>
        </w:tc>
        <w:tc>
          <w:tcPr>
            <w:tcW w:w="80" w:type="dxa"/>
            <w:tcBorders/>
            <w:shd w:fill="FFFFFF" w:val="clear"/>
            <w:vAlign w:val="center"/>
          </w:tcPr>
          <w:p>
            <w:pPr>
              <w:pStyle w:val="TableContents"/>
              <w:bidi w:val="0"/>
              <w:spacing w:before="0" w:after="283"/>
              <w:jc w:val="left"/>
            </w:pPr>
            <w:r>
              <w:t> </w:t>
            </w:r>
          </w:p>
        </w:tc>
      </w:tr>
      <w:t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expenses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2,426,433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2,326,326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7,758,317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7,974,277</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210,489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318,787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462,773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1,095,899</w:t>
            </w:r>
          </w:p>
        </w:tc>
        <w:tc>
          <w:tcPr>
            <w:tcW w:w="80" w:type="dxa"/>
            <w:tcBorders/>
            <w:shd w:fill="CCEEFF" w:val="clear"/>
            <w:vAlign w:val="center"/>
          </w:tcPr>
          <w:p>
            <w:pPr>
              <w:pStyle w:val="TableContents"/>
              <w:bidi w:val="0"/>
              <w:spacing w:before="0" w:after="283"/>
              <w:jc w:val="left"/>
            </w:pPr>
            <w:r>
              <w:t> </w:t>
            </w:r>
          </w:p>
        </w:tc>
      </w:tr>
      <w:t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(5,895,431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(7,726,639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(20,431,245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(18,879,077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 Includes early-stage clinical studies that are not indication-specific and 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 Includes, among other things, CMC-related costs, shipping, packaging and storage costs, certain consulting costs, and other miscellaneous research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evaluated subsequent events through the filing of this Quarterly Report and determined that there have been no events that have occurred that would require adjustments to the disclosures in the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Interim Financial Statements</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discussion and analysis contains information related to historical and prospective events intended to enable you to assess our financial condition and results of operations. The information contained in this discussion and analysis should be read in conjunction with our unaudited condensed consolidated interim financial statements and the related notes contained elsewhere in this Quarterly Report, as well as the risks and uncertainties discussed under the headings, "Part II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Item 1A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Risk Factors" and </w:t>
      </w:r>
      <w:r>
        <w:rPr>
          <w:rFonts w:ascii="Times New Roman" w:hAnsi="Times New Roman"/>
          <w:caps w:val="false"/>
          <w:smallCaps w:val="false"/>
          <w:sz w:val="20"/>
        </w:rPr>
        <w:t>“</w:t>
      </w:r>
      <w:r>
        <w:rPr>
          <w:rFonts w:ascii="Times New Roman" w:hAnsi="Times New Roman"/>
          <w:i/>
          <w:caps w:val="false"/>
          <w:smallCaps w:val="false"/>
          <w:sz w:val="20"/>
        </w:rPr>
        <w:t>Note Regarding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r>
        <w:rPr>
          <w:rFonts w:ascii="Times New Roman" w:hAnsi="Times New Roman"/>
          <w:caps w:val="false"/>
          <w:smallCaps w:val="false"/>
          <w:sz w:val="20"/>
        </w:rPr>
        <w:t>We are a clinical-stage biotechnology company developing treatments for age-related brain disorders. Our lead drug candidate, neflamapimod, is an investigational, orally administered small-molecule drug that readily crosses the blood–brain barrier and selectively inhibits the enzyme p38α,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DLB, our lead indication, as well as nfvPPA, RAS, and 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novel approach focuses on reducing the impact of neuroinflammation, which we believe is a key factor in the manifestation of degenerative diseases of the brain. Chronic activation of p38α in the brains of people with certain neurodegenerative diseases is believed to impair how neurons communicate through synapses. This synaptic dysfunction leads to deterioration of cognitive and motor abilities. Left untreated, synaptic dysfunction can result in irreversible neuronal loss that leads to devastating disabilities, significant reliance on a caretaker, long term care living, and, ultimately, death. However, before neuronal loss commences, disease progression in many major neurodegenerative disorders, including DLB, initially involves a protracted period of reversible functional loss, particularly with respect to the synapses. We believe that inhibiting p38α activity in the brain has the potential to reverse the clinical progression observed in the early-stages of certain neurodegenerative diseases, as well as slow further progression by delaying permanent synaptic dysfunction and neuron death, by interfering with key pathogenic drivers of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we are a leader in the industry in developing a treatment for DLB, a disease with no approved therapies in the US or European Union despite being the second most common progressive dementia. Neflamapimod is the only clinical drug candidate that, to our knowledge, has shown statistically significant improvements on clinical endpoints and a biomarker of neurodegeneration in both a Phase 2a and Phase 2b clinical trial. Differentiating our approach from potential competitors, we believe we are also the only company specifically targeting the treatment of DLB patients without AD co-pathology. While DLB patients with AD co-pathology generally have significant, irreversible neuronal loss, DLB without AD co-pathology is primarily a disease of functional deficits of synapses that we believe is more treatable. We believe if neflamapimod is given in the early stages of certain degenerative diseases of the brain like DLB without AD co-pathology, it may reverse synaptic dysfunction, improve neuron health and function, and slow further progression by delaying synaptic dysfunction and neuronal death. We believe this approach enhances the alignment of our development path with neflamapimod’s mechanism of action, reduces the heterogeneity of our target patient population, and provides the opportunity to demonstrate heightened clinical effect in shorter duration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Financial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September 30, 2026, we had cash, cash equivalents and marketable securities of approximately $19.6 million. To date, we have not had any products approved for sale and have not generated any revenue from product sales, and our ability to do so in the future will depend on the successful development and eventual commercialization of neflamapimod (or another product candidate that we could acquire or develop in the future). We do not expect to generate revenue from product sales until such time, if 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accumulated deficit as of September 30, 2026 was $118.1 million. We have never been profitable, and we will continue to require additional capital to develop neflamapimod and fund operations for the foreseeable future. We have historically incurred net losses in each year since inception. Our net loss was $20.4 million and $18.9 million in the nine months ended September 30, 2026 and 2025, respectively. Our net loss was $5.9 million and $7.7 million in the three months ended September 30, 2026 and 2025, respectively. While we anticipate that our operating expenses may decline in the last quarter of 2026 as compared to our recent historical operating expenses as the number of our ongoing clinical trials and CMC activities have declined, in the long-term we expect our expenses will increase in connection with our activities, as we: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neflamapimod through clinical trials, including our planned Phase 3 trial in DLB, subject to available funding, through a strategic partnership or otherwise;</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 supplies for our nonclinical studies and clinical trials;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 maintain, expand, and protect our intellectual property portfolio;</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hire additional personnel to support our operations and growth; and</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continue to operate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Based on our current operating plan, we do not believe our existing cash, cash equivalents and marketable securities on hand as of September 30, 2026, will enable us to fund our operating expenses and capital expenditure requirements for at least twelve months from the date of issuance of the unaudited condensed consolidated interim financial statements included in this Quarterly Report. The unaudited condensed consolidated interim financial statements appearing elsewhere in this Quarterly Report have been prepared on a going concern basis, which contemplates the realization of assets and satisfaction of liabilities in the normal course of business and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Operations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date, we have not generated any revenue from product sales and we do not expect to do so in the near future. In January 2023, we were awarded our $21.0 million NIA Grant and, in August 2024, we were awarded an additional $0.3 million under our NIA Grant. Funding from the NIA Grant was to be received in three annual installments and recognized as grant revenue as the qualifying expenses related thereto are incurred. There was no revenue recognized from the NIA Grant for the three and nine months ended September 30, 2026. The total revenue recognized from the NIA Grant was $0.3 million and $4.0 million for the three and nine months ended September 30,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account for a significant portion of our operating expenses and primarily consist of costs incurred for the discovery and development of our product candidates,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incurred under agreements with CROs, preclinical testing organizations, consultants, and other third-party vendors, collaborators and service providers;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related to production of clinical materials, including fees paid to CDMOs;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vendor expenses related to the execution of preclinical studies and clinical trials;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personnel-related expenses, including salaries, benefits, and stock-based compensation for personnel engaged in research and development functions;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related to the preparation of regulatory submissions;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third-party license fees; and</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for rent and other supplies.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recognize research and development expenses as incurred. Costs for certain development activities are recognized based on an evaluation of the progress to completion of specific tasks using information and data provided to us by our vendors, collaborators, and third-party service providers. Non-refundable advance payments made by us for future research and development activities are capitalized and expensed as the related goods are delivered and as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Specific program expenses include expenses associated with the development of our lead product candidate, neflamapimod. Personnel and other operating expenses incurred for our research and development programs primarily relate to salaries and benefits, stock-based compensation, and facility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At this time, we cannot reasonably estimate or know the nature, timing, and estimated costs of the efforts that will be necessary to complete the development of, and obtain regulatory approval for, neflamapimod, or for any other product candidates that we may develop or acquire. We expect our research and development expenses to increase substantially for the foreseeable future as we continue to invest in research and development activities related to developing neflamapimod such as conducting larger clinical trials, seeking regulatory approval and incurring expenses associated with hiring personnel to support other research and development efforts. The process of conducting the necessary clinical research to obtain regulatory approval is costly and time-consuming, and the successful development of product candidates, including neflamapimod, is highly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primarily of personnel-related costs, including stock-based compensation for our personnel in executive, finance and accounting, and other administrative functions. General and administrative expenses also include legal fees relating to intellectual property and corporate matters, professional fees paid for accounting, auditing, consulting, and tax services, insurance costs, and facility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We anticipate that our general and administrative expenses will remain consistent in the short term as we pursue a strategic partnership and will increase in the future as we increase our headcount to support our continued research and development activities and as we continue development activities. We also anticipate that we will incur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income consists of interest earned on our marketable securities and on our cash and cash equivalent balances held with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Comparison of the Three Months Ended September</w:t>
      </w:r>
      <w:r>
        <w:rPr>
          <w:rFonts w:ascii="Times New Roman" w:hAnsi="Times New Roman"/>
          <w:caps w:val="false"/>
          <w:smallCaps w:val="false"/>
          <w:sz w:val="20"/>
        </w:rPr>
        <w:t> </w:t>
      </w:r>
      <w:r>
        <w:rPr>
          <w:rFonts w:ascii="Times New Roman" w:hAnsi="Times New Roman"/>
          <w:b/>
          <w:caps w:val="false"/>
          <w:smallCaps w:val="false"/>
          <w:sz w:val="20"/>
        </w:rPr>
        <w:t>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results of operations:</w:t>
      </w:r>
    </w:p>
    <w:p>
      <w:pPr>
        <w:pStyle w:val="TextBody"/>
        <w:bidi w:val="0"/>
        <w:spacing w:before="0" w:after="0"/>
        <w:ind w:left="0" w:right="0" w:hanging="0"/>
        <w:jc w:val="left"/>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2210"/>
        <w:gridCol w:w="60"/>
        <w:gridCol w:w="125"/>
        <w:gridCol w:w="905"/>
        <w:gridCol w:w="80"/>
        <w:gridCol w:w="60"/>
        <w:gridCol w:w="125"/>
        <w:gridCol w:w="905"/>
        <w:gridCol w:w="80"/>
        <w:gridCol w:w="60"/>
        <w:gridCol w:w="125"/>
        <w:gridCol w:w="905"/>
        <w:gridCol w:w="80"/>
        <w:gridCol w:w="60"/>
        <w:gridCol w:w="119"/>
        <w:gridCol w:w="786"/>
        <w:gridCol w:w="245"/>
      </w:tblGrid>
      <w:tr>
        <w:tc>
          <w:tcPr>
            <w:tcW w:w="221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2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9" w:type="dxa"/>
            <w:tcBorders/>
            <w:vAlign w:val="center"/>
          </w:tcPr>
          <w:p>
            <w:pPr>
              <w:pStyle w:val="TableContents"/>
              <w:bidi w:val="0"/>
              <w:spacing w:before="0" w:after="283"/>
              <w:jc w:val="left"/>
            </w:pPr>
            <w:r>
              <w:t> </w:t>
            </w:r>
          </w:p>
        </w:tc>
        <w:tc>
          <w:tcPr>
            <w:tcW w:w="786" w:type="dxa"/>
            <w:tcBorders/>
            <w:vAlign w:val="center"/>
          </w:tcPr>
          <w:p>
            <w:pPr>
              <w:pStyle w:val="TableContents"/>
              <w:bidi w:val="0"/>
              <w:spacing w:before="0" w:after="283"/>
              <w:jc w:val="center"/>
            </w:pPr>
            <w:r>
              <w:t> </w:t>
            </w:r>
          </w:p>
        </w:tc>
        <w:tc>
          <w:tcPr>
            <w:tcW w:w="245" w:type="dxa"/>
            <w:tcBorders/>
            <w:vAlign w:val="center"/>
          </w:tcPr>
          <w:p>
            <w:pPr>
              <w:pStyle w:val="TableContents"/>
              <w:bidi w:val="0"/>
              <w:spacing w:before="0" w:after="283"/>
              <w:jc w:val="left"/>
            </w:pPr>
            <w:r>
              <w:t> </w:t>
            </w:r>
          </w:p>
        </w:tc>
      </w:tr>
      <w:tr>
        <w:tc>
          <w:tcPr>
            <w:tcW w:w="221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786"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3,678,517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6,040,442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(2,361,925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2,426,433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2,326,326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100,107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6,104,950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8,366,768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(6,104,950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(8,044,199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1,939,249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786"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210,489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318,787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317,560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(5,895,431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(7,726,639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1,831,208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net loss was $5.9 million for the three months ended September 30, 2026, compared to $7.7 million in the prior year period. The aggregate decrease of $1.8 million was primarily due to a $2.3 million decrease in total operating expenses, partially offset by a $0.3 million decrease in grant revenue, in each case,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Grant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was no revenue recognized from the NIA Grant for the three months ended September 30, 2026. The total revenue recognized from the NIA Grant was $0.3 million for the three months ended September 30, 2025. The decrease of $0.3 million is due to the completion of the RewinD-LB Trial in mid-2025 and, accordingly, there currently being no further funding available or expected under the NIA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research and development expenses for the three months ended September 30, 2026 and 2025:</w:t>
      </w:r>
    </w:p>
    <w:p>
      <w:pPr>
        <w:pStyle w:val="TextBody"/>
        <w:bidi w:val="0"/>
        <w:spacing w:before="0" w:after="0"/>
        <w:ind w:left="0" w:right="0" w:hanging="0"/>
        <w:jc w:val="left"/>
        <w:rPr>
          <w:caps w:val="false"/>
          <w:smallCaps w:val="false"/>
        </w:rPr>
      </w:pPr>
      <w:r>
        <w:rPr>
          <w:caps w:val="false"/>
          <w:smallCaps w:val="false"/>
        </w:rPr>
        <w:t> </w:t>
      </w:r>
    </w:p>
    <w:tbl>
      <w:tblPr>
        <w:tblW w:w="9560" w:type="dxa"/>
        <w:jc w:val="left"/>
        <w:tblInd w:w="0" w:type="dxa"/>
        <w:tblLayout w:type="fixed"/>
        <w:tblCellMar>
          <w:top w:w="0" w:type="dxa"/>
          <w:left w:w="0" w:type="dxa"/>
          <w:bottom w:w="0" w:type="dxa"/>
          <w:right w:w="0" w:type="dxa"/>
        </w:tblCellMar>
      </w:tblPr>
      <w:tblGrid>
        <w:gridCol w:w="5000"/>
        <w:gridCol w:w="60"/>
        <w:gridCol w:w="125"/>
        <w:gridCol w:w="845"/>
        <w:gridCol w:w="60"/>
        <w:gridCol w:w="60"/>
        <w:gridCol w:w="125"/>
        <w:gridCol w:w="845"/>
        <w:gridCol w:w="60"/>
        <w:gridCol w:w="60"/>
        <w:gridCol w:w="125"/>
        <w:gridCol w:w="905"/>
        <w:gridCol w:w="80"/>
        <w:gridCol w:w="60"/>
        <w:gridCol w:w="155"/>
        <w:gridCol w:w="750"/>
        <w:gridCol w:w="245"/>
      </w:tblGrid>
      <w:tr>
        <w:tc>
          <w:tcPr>
            <w:tcW w:w="50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pPr>
            <w:r>
              <w:t> </w:t>
            </w:r>
          </w:p>
        </w:tc>
        <w:tc>
          <w:tcPr>
            <w:tcW w:w="750" w:type="dxa"/>
            <w:tcBorders/>
            <w:vAlign w:val="center"/>
          </w:tcPr>
          <w:p>
            <w:pPr>
              <w:pStyle w:val="TableContents"/>
              <w:bidi w:val="0"/>
              <w:spacing w:before="0" w:after="283"/>
              <w:jc w:val="center"/>
            </w:pPr>
            <w:r>
              <w:t> </w:t>
            </w:r>
          </w:p>
        </w:tc>
        <w:tc>
          <w:tcPr>
            <w:tcW w:w="245" w:type="dxa"/>
            <w:tcBorders/>
            <w:vAlign w:val="center"/>
          </w:tcPr>
          <w:p>
            <w:pPr>
              <w:pStyle w:val="TableContents"/>
              <w:bidi w:val="0"/>
              <w:spacing w:before="0" w:after="283"/>
              <w:jc w:val="left"/>
            </w:pPr>
            <w:r>
              <w:t> </w:t>
            </w:r>
          </w:p>
        </w:tc>
      </w:tr>
      <w:tr>
        <w:tc>
          <w:tcPr>
            <w:tcW w:w="50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pPr>
            <w:r>
              <w:t> </w:t>
            </w:r>
          </w:p>
        </w:tc>
      </w:tr>
      <w:t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Dementia with Lewy bodies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234,368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1,680,922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(1,446,554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Frontotemporal disorders (incl. nfvPPA)</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460,118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313,438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146,680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after stroke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240,294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396,635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clinical* and nonclinical</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739,149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485,586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253,563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948,397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1,767,086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(818,689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108,894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expenses, including CMC**</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947,297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1,263,606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 expenses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3,678,517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6,040,442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(2,361,925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Includes early-stage clinical studies that are not indication-specific and 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 Includes, among other things, CMC-related costs, shipping, packaging and storage costs, certain consulting costs, and other miscellaneous research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were $3.7 million for the three months ended September 30, 2026, compared to $6.0 million for the three months ended September 30, 2025. The aggregate $2.4 million decrease in research and development expenses was primarily due to a $1.4 million decrease in costs related to our completed RewinD-LB Trial, a $0.8 million decrease in personnel costs, a $0.3 million decrease in other research and development costs, and a $0.2 million decrease in costs related to our ongoing Restore Trial in recovery after stroke. These decreases were partially offset by an increase of $0.3 million in other clinical and nonclinical costs and $0.1 million increase in costs related to our ongoing Phase 2a clinical trial in nfvPPA.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general and administrative expenses for the three months ended September 30, 2026 and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70"/>
        <w:gridCol w:w="60"/>
        <w:gridCol w:w="125"/>
        <w:gridCol w:w="845"/>
        <w:gridCol w:w="60"/>
        <w:gridCol w:w="60"/>
        <w:gridCol w:w="125"/>
        <w:gridCol w:w="845"/>
        <w:gridCol w:w="60"/>
        <w:gridCol w:w="60"/>
        <w:gridCol w:w="125"/>
        <w:gridCol w:w="695"/>
        <w:gridCol w:w="80"/>
        <w:gridCol w:w="60"/>
        <w:gridCol w:w="155"/>
        <w:gridCol w:w="750"/>
        <w:gridCol w:w="230"/>
      </w:tblGrid>
      <w:tr>
        <w:tc>
          <w:tcPr>
            <w:tcW w:w="587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695"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pPr>
            <w:r>
              <w:t> </w:t>
            </w:r>
          </w:p>
        </w:tc>
        <w:tc>
          <w:tcPr>
            <w:tcW w:w="750" w:type="dxa"/>
            <w:tcBorders/>
            <w:vAlign w:val="center"/>
          </w:tcPr>
          <w:p>
            <w:pPr>
              <w:pStyle w:val="TableContents"/>
              <w:bidi w:val="0"/>
              <w:spacing w:before="0" w:after="283"/>
              <w:jc w:val="center"/>
            </w:pPr>
            <w:r>
              <w:t> </w:t>
            </w:r>
          </w:p>
        </w:tc>
        <w:tc>
          <w:tcPr>
            <w:tcW w:w="230" w:type="dxa"/>
            <w:tcBorders/>
            <w:vAlign w:val="center"/>
          </w:tcPr>
          <w:p>
            <w:pPr>
              <w:pStyle w:val="TableContents"/>
              <w:bidi w:val="0"/>
              <w:spacing w:before="0" w:after="283"/>
              <w:jc w:val="left"/>
            </w:pPr>
            <w:r>
              <w:t> </w:t>
            </w:r>
          </w:p>
        </w:tc>
      </w:tr>
      <w:tr>
        <w:tc>
          <w:tcPr>
            <w:tcW w:w="587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0" w:type="dxa"/>
            <w:tcBorders/>
            <w:vAlign w:val="center"/>
          </w:tcPr>
          <w:p>
            <w:pPr>
              <w:pStyle w:val="TableContents"/>
              <w:bidi w:val="0"/>
              <w:spacing w:before="0" w:after="283"/>
              <w:jc w:val="left"/>
            </w:pPr>
            <w:r>
              <w:t> </w:t>
            </w:r>
          </w:p>
        </w:tc>
      </w:tr>
      <w:tr>
        <w:tc>
          <w:tcPr>
            <w:tcW w:w="5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1,132,068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1,087,467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44,601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198,551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158,548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742,675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711,307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31,368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taxes and similar fees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217,035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258,032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 including IT, facilities, supplies and similar costs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136,104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110,972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expenses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2,426,433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2,326,326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100,107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were $2.4 million for the three months ended September 30, 2026, compared to $2.3 million for the three months ended September 30, 2025. The aggregate increase of $0.1 million was primarily due to increases in personnel costs, stock-based compensation expense, and professional fees (driven by added legal expenses for patent work, other corporate legal expenses, and consulting expenses), partially offset by a decrease in insurance, taxes and similar fees, each of which was less than $50,000.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There was a </w:t>
      </w:r>
      <w:r>
        <w:rPr>
          <w:rFonts w:ascii="Times New Roman" w:hAnsi="Times New Roman"/>
          <w:i/>
          <w:caps w:val="false"/>
          <w:smallCaps w:val="false"/>
          <w:sz w:val="20"/>
        </w:rPr>
        <w:t>de minimis</w:t>
      </w:r>
      <w:r>
        <w:rPr>
          <w:rFonts w:ascii="Times New Roman" w:hAnsi="Times New Roman"/>
          <w:caps w:val="false"/>
          <w:smallCaps w:val="false"/>
          <w:sz w:val="20"/>
        </w:rPr>
        <w:t xml:space="preserve"> amount of other expenses for the three months ended September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income was $0.2 million for the three months ended September 30, 2026, compared to $0.3 million for the three months ended September 30, 2025. The decrease of $0.1 million was primarily due to a change in returns on investments driven by a lower investment balance due to cash used for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Comparison of the Nine Months Ended September</w:t>
      </w:r>
      <w:r>
        <w:rPr>
          <w:rFonts w:ascii="Times New Roman" w:hAnsi="Times New Roman"/>
          <w:caps w:val="false"/>
          <w:smallCaps w:val="false"/>
          <w:sz w:val="20"/>
        </w:rPr>
        <w:t> </w:t>
      </w:r>
      <w:r>
        <w:rPr>
          <w:rFonts w:ascii="Times New Roman" w:hAnsi="Times New Roman"/>
          <w:b/>
          <w:caps w:val="false"/>
          <w:smallCaps w:val="false"/>
          <w:sz w:val="20"/>
        </w:rPr>
        <w:t>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results of operations:</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0" w:type="dxa"/>
          <w:right w:w="0" w:type="dxa"/>
        </w:tblCellMar>
      </w:tblPr>
      <w:tblGrid>
        <w:gridCol w:w="2210"/>
        <w:gridCol w:w="60"/>
        <w:gridCol w:w="125"/>
        <w:gridCol w:w="1010"/>
        <w:gridCol w:w="80"/>
        <w:gridCol w:w="60"/>
        <w:gridCol w:w="125"/>
        <w:gridCol w:w="1010"/>
        <w:gridCol w:w="80"/>
        <w:gridCol w:w="60"/>
        <w:gridCol w:w="125"/>
        <w:gridCol w:w="905"/>
        <w:gridCol w:w="80"/>
        <w:gridCol w:w="60"/>
        <w:gridCol w:w="119"/>
        <w:gridCol w:w="786"/>
        <w:gridCol w:w="245"/>
      </w:tblGrid>
      <w:tr>
        <w:tc>
          <w:tcPr>
            <w:tcW w:w="221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19" w:type="dxa"/>
            <w:tcBorders/>
            <w:vAlign w:val="center"/>
          </w:tcPr>
          <w:p>
            <w:pPr>
              <w:pStyle w:val="TableContents"/>
              <w:bidi w:val="0"/>
              <w:spacing w:before="0" w:after="283"/>
              <w:jc w:val="left"/>
            </w:pPr>
            <w:r>
              <w:t> </w:t>
            </w:r>
          </w:p>
        </w:tc>
        <w:tc>
          <w:tcPr>
            <w:tcW w:w="786" w:type="dxa"/>
            <w:tcBorders/>
            <w:vAlign w:val="center"/>
          </w:tcPr>
          <w:p>
            <w:pPr>
              <w:pStyle w:val="TableContents"/>
              <w:bidi w:val="0"/>
              <w:spacing w:before="0" w:after="283"/>
              <w:jc w:val="center"/>
            </w:pPr>
            <w:r>
              <w:t> </w:t>
            </w:r>
          </w:p>
        </w:tc>
        <w:tc>
          <w:tcPr>
            <w:tcW w:w="245" w:type="dxa"/>
            <w:tcBorders/>
            <w:vAlign w:val="center"/>
          </w:tcPr>
          <w:p>
            <w:pPr>
              <w:pStyle w:val="TableContents"/>
              <w:bidi w:val="0"/>
              <w:spacing w:before="0" w:after="283"/>
              <w:jc w:val="left"/>
            </w:pPr>
            <w:r>
              <w:t> </w:t>
            </w:r>
          </w:p>
        </w:tc>
      </w:tr>
      <w:tr>
        <w:tc>
          <w:tcPr>
            <w:tcW w:w="221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3,997,784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(3,997,784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1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01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9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786"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13,135,708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15,986,865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(2,851,157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7,758,317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7,974,277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20,894,025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23,961,142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(3,067,117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(20,894,025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(19,963,358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(930,667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01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9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jc w:val="left"/>
            </w:pPr>
            <w:r>
              <w:t> </w:t>
            </w:r>
          </w:p>
        </w:tc>
        <w:tc>
          <w:tcPr>
            <w:tcW w:w="786"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05"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245" w:type="dxa"/>
            <w:tcBorders/>
            <w:shd w:fill="FFFFFF" w:val="cle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462,773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1,095,899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462,780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1,084,281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(621,501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(20,431,245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(18,879,077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net loss was $20.4 million for the nine months ended September 30, 2026, compared to $18.9 million in the prior year period. The aggregate increase of $1.6 million was primarily due to a $4.0 million decrease in grant revenue and a $0.6 million decrease in interest income, partially offset by a $3.1 million decrease in total operating expenses, in each case,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Grant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was no revenue recognized from the NIA Grant for the nine months ended September 30, 2026. The total revenue recognized from the NIA Grant was $4.0 million for the nine months ended September 30, 2025. The decrease of $4.0 million is due to the completion of the RewinD-LB Trial in mid-2025 and, accordingly, there currently being no further funding available or expected under the NIA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research and development expenses for the nine months ended September 30, 2026 and 2025:</w:t>
      </w:r>
    </w:p>
    <w:p>
      <w:pPr>
        <w:pStyle w:val="TextBody"/>
        <w:bidi w:val="0"/>
        <w:spacing w:before="0" w:after="0"/>
        <w:ind w:left="0" w:right="0" w:hanging="0"/>
        <w:jc w:val="left"/>
        <w:rPr>
          <w:caps w:val="false"/>
          <w:smallCaps w:val="false"/>
        </w:rPr>
      </w:pPr>
      <w:r>
        <w:rPr>
          <w:caps w:val="false"/>
          <w:smallCaps w:val="false"/>
        </w:rPr>
        <w:t> </w:t>
      </w:r>
    </w:p>
    <w:tbl>
      <w:tblPr>
        <w:tblW w:w="9770" w:type="dxa"/>
        <w:jc w:val="left"/>
        <w:tblInd w:w="0" w:type="dxa"/>
        <w:tblLayout w:type="fixed"/>
        <w:tblCellMar>
          <w:top w:w="0" w:type="dxa"/>
          <w:left w:w="0" w:type="dxa"/>
          <w:bottom w:w="0" w:type="dxa"/>
          <w:right w:w="0" w:type="dxa"/>
        </w:tblCellMar>
      </w:tblPr>
      <w:tblGrid>
        <w:gridCol w:w="5000"/>
        <w:gridCol w:w="60"/>
        <w:gridCol w:w="125"/>
        <w:gridCol w:w="950"/>
        <w:gridCol w:w="60"/>
        <w:gridCol w:w="60"/>
        <w:gridCol w:w="125"/>
        <w:gridCol w:w="950"/>
        <w:gridCol w:w="60"/>
        <w:gridCol w:w="60"/>
        <w:gridCol w:w="125"/>
        <w:gridCol w:w="905"/>
        <w:gridCol w:w="80"/>
        <w:gridCol w:w="60"/>
        <w:gridCol w:w="155"/>
        <w:gridCol w:w="750"/>
        <w:gridCol w:w="245"/>
      </w:tblGrid>
      <w:tr>
        <w:tc>
          <w:tcPr>
            <w:tcW w:w="50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2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905"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pPr>
            <w:r>
              <w:t> </w:t>
            </w:r>
          </w:p>
        </w:tc>
        <w:tc>
          <w:tcPr>
            <w:tcW w:w="750" w:type="dxa"/>
            <w:tcBorders/>
            <w:vAlign w:val="center"/>
          </w:tcPr>
          <w:p>
            <w:pPr>
              <w:pStyle w:val="TableContents"/>
              <w:bidi w:val="0"/>
              <w:spacing w:before="0" w:after="283"/>
              <w:jc w:val="center"/>
            </w:pPr>
            <w:r>
              <w:t> </w:t>
            </w:r>
          </w:p>
        </w:tc>
        <w:tc>
          <w:tcPr>
            <w:tcW w:w="245" w:type="dxa"/>
            <w:tcBorders/>
            <w:vAlign w:val="center"/>
          </w:tcPr>
          <w:p>
            <w:pPr>
              <w:pStyle w:val="TableContents"/>
              <w:bidi w:val="0"/>
              <w:spacing w:before="0" w:after="283"/>
              <w:jc w:val="left"/>
            </w:pPr>
            <w:r>
              <w:t> </w:t>
            </w:r>
          </w:p>
        </w:tc>
      </w:tr>
      <w:tr>
        <w:tc>
          <w:tcPr>
            <w:tcW w:w="50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pPr>
            <w:r>
              <w:t> </w:t>
            </w:r>
          </w:p>
        </w:tc>
      </w:tr>
      <w:t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Dementia with Lewy bodies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1,403,728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5,866,430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(4,462,702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Frontotemporal disorders (incl. nfvPPA)</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1,423,969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846,664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577,305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after stroke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1,140,832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952,338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188,494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clinical* and nonclinical</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2,208,816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1,505,726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703,090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2,800,235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4,060,722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(1,260,487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372,779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378,030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expenses, including CMC**</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3,785,349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2,376,955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1,408,394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 expenses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13,135,708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15,986,865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(2,851,157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Includes early-stage clinical studies that are not indication-specific and 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 Includes, among other things, CMC-related costs, shipping, packaging and storage costs, certain consulting costs, and other miscellaneous research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were $13.1 million for the nine months ended September 30, 2026, compared to $16.0 million for the nine months ended September 30, 2025. The aggregate $2.9 million decrease in research and development expenses was primarily due to a $4.5 million decrease in costs related to our completed RewinD-LB Trial and a $1.3 million decrease in personnel costs. This decrease was partially offset by a $1.4 million increase in other research and development costs and $0.7 million increase in other clinical and nonclinical costs driven, in each case, by increased CMC and other activities to develop and evaluate a stable crystal form of neflamapimod and new, controlled manufacturing process, and by increases of $0.6 million and $0.2 million in costs related to nfvPPA and RAS, respectively, related to our ongoing trial in each indication progressing following the commencement of enrollment in the second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general and administrative expenses for the nine months ended September 30, 2026 and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1"/>
        <w:gridCol w:w="60"/>
        <w:gridCol w:w="125"/>
        <w:gridCol w:w="845"/>
        <w:gridCol w:w="60"/>
        <w:gridCol w:w="60"/>
        <w:gridCol w:w="125"/>
        <w:gridCol w:w="845"/>
        <w:gridCol w:w="60"/>
        <w:gridCol w:w="60"/>
        <w:gridCol w:w="125"/>
        <w:gridCol w:w="755"/>
        <w:gridCol w:w="80"/>
        <w:gridCol w:w="60"/>
        <w:gridCol w:w="155"/>
        <w:gridCol w:w="750"/>
        <w:gridCol w:w="229"/>
      </w:tblGrid>
      <w:tr>
        <w:tc>
          <w:tcPr>
            <w:tcW w:w="5811"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755" w:type="dxa"/>
            <w:tcBorders/>
            <w:vAlign w:val="center"/>
          </w:tcPr>
          <w:p>
            <w:pPr>
              <w:pStyle w:val="TableContents"/>
              <w:bidi w:val="0"/>
              <w:spacing w:before="0" w:after="283"/>
              <w:jc w:val="center"/>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pPr>
            <w:r>
              <w:t> </w:t>
            </w:r>
          </w:p>
        </w:tc>
        <w:tc>
          <w:tcPr>
            <w:tcW w:w="750" w:type="dxa"/>
            <w:tcBorders/>
            <w:vAlign w:val="center"/>
          </w:tcPr>
          <w:p>
            <w:pPr>
              <w:pStyle w:val="TableContents"/>
              <w:bidi w:val="0"/>
              <w:spacing w:before="0" w:after="283"/>
              <w:jc w:val="center"/>
            </w:pPr>
            <w:r>
              <w:t> </w:t>
            </w:r>
          </w:p>
        </w:tc>
        <w:tc>
          <w:tcPr>
            <w:tcW w:w="229" w:type="dxa"/>
            <w:tcBorders/>
            <w:vAlign w:val="center"/>
          </w:tcPr>
          <w:p>
            <w:pPr>
              <w:pStyle w:val="TableContents"/>
              <w:bidi w:val="0"/>
              <w:spacing w:before="0" w:after="283"/>
              <w:jc w:val="left"/>
            </w:pPr>
            <w:r>
              <w:t> </w:t>
            </w:r>
          </w:p>
        </w:tc>
      </w:tr>
      <w:tr>
        <w:tc>
          <w:tcPr>
            <w:tcW w:w="5811"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29" w:type="dxa"/>
            <w:tcBorders/>
            <w:vAlign w:val="center"/>
          </w:tcPr>
          <w:p>
            <w:pPr>
              <w:pStyle w:val="TableContents"/>
              <w:bidi w:val="0"/>
              <w:spacing w:before="0" w:after="283"/>
              <w:jc w:val="left"/>
            </w:pPr>
            <w:r>
              <w:t> </w:t>
            </w:r>
          </w:p>
        </w:tc>
      </w:tr>
      <w:t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3,578,602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3,797,765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646,137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771,869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2,504,542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2,053,984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450,558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pPr>
            <w: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taxes and similar fees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652,639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917,616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 including IT, facilities, supplies and similar costs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376,397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433,043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8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expenses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7,758,317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7,974,277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were $7.8 million for the nine months ended September 30, 2026, compared to $8.0 million for the nine months ended September 30, 2025. The aggregate decrease of $0.2 million was primarily due to a $0.3 million decrease in insurance, taxes, and similar fees, a $0.2 million decrease in personnel costs primarily driven by lower headcount in the current year period and severance costs in the prior year period and a $0.1 million decrease in stock-based compensation, partially offset by a $0.5 million increase in professional fees driven by legal expenses for patent work, other corporate legal expenses, and consulting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There was a </w:t>
      </w:r>
      <w:r>
        <w:rPr>
          <w:rFonts w:ascii="Times New Roman" w:hAnsi="Times New Roman"/>
          <w:i/>
          <w:caps w:val="false"/>
          <w:smallCaps w:val="false"/>
          <w:sz w:val="20"/>
        </w:rPr>
        <w:t>de minimis</w:t>
      </w:r>
      <w:r>
        <w:rPr>
          <w:rFonts w:ascii="Times New Roman" w:hAnsi="Times New Roman"/>
          <w:caps w:val="false"/>
          <w:smallCaps w:val="false"/>
          <w:sz w:val="20"/>
        </w:rPr>
        <w:t xml:space="preserve"> amount of other expenses for the nine months ended September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income was $0.5 million for the nine months ended September 30, 2026, compared to $1.1 million for the nine months ended September 30, 2025. The decrease of $0.6 million was primarily due to a change in returns on investments driven by a lower investment balance due to cash used for operations, as the proceeds from the 2026 Private Placement and 2026 Registered Direct Offering were not received until late in the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the date of our inception through September 30, 2026, our operations have primarily been financed through the issuance of common stock, convertible preferred stock and convertible debt financings. As of September 30, 2026, we had approximately $19.6 million of cash, cash equivalents and marketable securities. We have not generated positive cash flows from operations and as of September 30, 2026, we had an accumulated deficit of approximately $118.1 million. In January 2023, we were awarded a $21.0 million grant from the NIA to support the RewinD-LB Trial, which was expected to be received over a three-year period. In August 2024, we were awarded an additional $0.3 million from the NIA. As of September 30, 2026, aggregate cash funding of $20.9 million had been received from the NIA Grant. There is no further funding available under this grant and no receivable balance remaining as of September 30, 2026. During the nine months ended September 30, 2026, we forfeited $0.2 million previously awarded under the NIA Grant due to underbilling on an agreement with a clinical trial site. During the year ended December 31, 2025, we received access to 98% of the year 3 funding provided for in the NIA Grant, due to then-current NIA policy. In January 2026, we were informed that we would not receive the final 2% of year 3 grant funding, or approximately $0.2 million, that remained unavailable as of December 31, 2025, as a result of agency-wide reductions in NIA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12, 2025, we entered into the Sales Agreement with Leerink Partners, LLC, as sales agent, pursuant to which we may offer and sell shares of common stock from time-to-time with an aggregate offering price of up to $50.0 million under an “at-the-market" offering program. During the nine months ended September 30, 2025, we sold 550,000 shares of common stock to an institutional investor in a block sale for gross proceeds of $4.7 million, before deducting $0.1 million of issuance costs. There was no activity related to the Sales Agreement in the three months ended September 30, 2025. There was no activity related to the Sales Agreement in the three and nine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2026, we completed the 2026 Private Placement in connection with which certain accredited investors purchased an aggregate of 3,360,377 units at a purchase price of $3.14 per unit (or $3.139 per unit including a 2026 Pre-Funded Warrant), for aggregate gross proceeds of approximately $10.5 million. Each unit consisted of one share of common stock (or, at the purchaser's election, one 2026 Pre-Funded Warrant) together with one Series B Warrant and one Series C Warrant to purchase one share of common stock (or a pre-funded warrant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22, 2026, we completed the 2026 Registered Direct Offering in connection with which certain investors purchased an aggregate of 2,500,000 shares of common stock at a purchase price of $4.00 per share, for aggregate gross proceeds of approximately $10.0 million. In addition, as compensation, we issued the Placement Agent Warrants to purchase up to 150,000 shares of common stock (or pre-funded warrants above a beneficial ownership cap) to the placement agent in the 2026 Registered Direct Offering. The Placement Agent Warrants have an exercise price of $5.00 per share, are immediately exercisable, and expire on June 18,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Our primary uses of cash are to fund our operations, which consist primarily of research and development expenditures related to our programs and, to a lesser extent, general and administrative expenditures. Cash used to fund operating expenses is impacted by the timing of when we pay these expenses, as reflected in the change in our outstanding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Any product candidates we may develop may never achieve commercialization, and we anticipate that we will continue to incur losses for the foreseeable future. We expect that our research and development expenses, general and administrative expenses, and capital expenditures will continue to increase. In addition, we expect to incur costs associated with operating as a public company. As a result, until such time, if ever, as we can generate substantial product revenue, we expect to finance our cash needs through a combination of equity offerings, debt financings or other capital sources, including potential collaborations, licenses and other similar arrangements. Our primary uses of capital are, and we expect will continue to be, costs related to clinical research, manufacturing and development services; compensation and related expenses; costs relating to our office lease (and, potentially in the future, the build-out of our headquarters, other offices, and laboratories); license payments or milestone obligations that may arise; laboratory expenses and costs for related supplies; manufacturing costs; legal and other regulatory expenses and general overhead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Based on our current operating plan, we do not believe our existing cash, cash equivalents, and marketable securities on hand as of September 30, 2026, will enable us to fund our operating expenses and capital expenditure requirements for at least twelve months from the issuance of the unaudited condensed consolidated interim financial statements included in this Quarterly Report. Accordingly, substantial doubt exists about our ability to continue as a going concern within one year after the date the unaudited condensed consolidated interim financial statements included elsewhere in this Quarterly Report are issued. The accompanying unaudited interim condensed consolidated financial statements have been prepared on a going concern basis, which contemplates the realization of assets and satisfaction of liabilities in the normal course of business. The unaudited interim condensed consolidated financial statements do not include any adjustments that might result from the outcome of this uncertainty.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royalty arrangements, or other dilutive or non-dilutive capital sources, including potential collaborations, licenses and/or other similar arrangements. However, we may be unable to raise additional funds or enter into such other arrangements when needed on favorable terms or at all.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a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may need to delay, reduce or terminate planned activities to reduce costs, including our development or commercialization activities for neflamapimod. We might also be required to seek funds through arrangements with third parties that require us to relinquish certain of our rights to neflamapimod or otherwise agree to terms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of the numerous risks and uncertainties associated with research, development and commercialization of product candidates, we are unable to estimate the exact amount of our operating capital requirements. Our future capital requirements will depend on, and could increase significantly as a result of,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establish strategic collaborations, licensing or other arrangements with other parties on favorable terms, if at all, including, without limitation, our ability to successfully enter into a partnership to advance neflamapimod into a Phase 3 clinical trial in patients with DLB in a timely manner, on acceptable terms, or at all;</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enrollment, progress, timing, costs and results of our clinical trials and other development activities for neflamapimod;</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outcome, timing and cost of meeting regulatory requirements established by the FDA and other comparable foreign regulatory authorities;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reach certain milestone events set forth in our collaboration agreements and the timing of such achievements, triggering our obligation to make applicable payments;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hiring of additional clinical, scientific and commercial personnel to pursue our development plans, as well as the increased costs of internal and external resources to support our operations as a public reporting company;</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and timing of securing manufacturing arrangements for clinical or commercial production;</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establishing, either internally or in collaboration with others, sales, marketing and distribution capabilities to commercialize neflamapimod, if approved;</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filing, prosecuting, enforcing, and defending our patent claims and other intellectual property rights, including defending against any patent infringement actions brought by third parties against us;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receive additional non-dilutive funding, including grants from organizations and foundations;</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establish strategic collaborations, licensing or other arrangements with other parties on favorable terms, if at all; and</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we may in-license or acquire other product candidates or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change in the outcome of any of these or other variables could significantly alter the costs and timing associated with the development of neflamapimod. Furthermore, our operating plans may change in the future, and we may need additional funds to meet operational needs and capital requirements associated with such operating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b/>
          <w:i/>
          <w:caps w:val="false"/>
          <w:smallCaps w:val="false"/>
          <w:sz w:val="20"/>
        </w:rPr>
        <w:t>Cash Flows</w:t>
      </w:r>
      <w:r>
        <w:rPr>
          <w:rFonts w:ascii="Times New Roman" w:hAnsi="Times New Roman"/>
          <w:caps w:val="false"/>
          <w:smallCaps w:val="false"/>
          <w:sz w:val="20"/>
        </w:rPr>
        <w:t> </w:t>
      </w:r>
    </w:p>
    <w:p>
      <w:pPr>
        <w:pStyle w:val="TextBody"/>
        <w:bidi w:val="0"/>
        <w:spacing w:before="0" w:after="0"/>
        <w:ind w:left="0" w:right="0" w:firstLine="180"/>
        <w:jc w:val="both"/>
        <w:rPr>
          <w:caps w:val="false"/>
          <w:smallCaps w:val="false"/>
        </w:rPr>
      </w:pPr>
      <w:r>
        <w:rPr>
          <w:caps w:val="false"/>
          <w:smallCaps w:val="false"/>
        </w:rPr>
        <w:t> </w:t>
      </w:r>
    </w:p>
    <w:tbl>
      <w:tblPr>
        <w:tblW w:w="6971" w:type="dxa"/>
        <w:jc w:val="left"/>
        <w:tblInd w:w="0" w:type="dxa"/>
        <w:tblLayout w:type="fixed"/>
        <w:tblCellMar>
          <w:top w:w="0" w:type="dxa"/>
          <w:left w:w="0" w:type="dxa"/>
          <w:bottom w:w="0" w:type="dxa"/>
          <w:right w:w="0" w:type="dxa"/>
        </w:tblCellMar>
      </w:tblPr>
      <w:tblGrid>
        <w:gridCol w:w="4220"/>
        <w:gridCol w:w="60"/>
        <w:gridCol w:w="135"/>
        <w:gridCol w:w="1095"/>
        <w:gridCol w:w="86"/>
        <w:gridCol w:w="65"/>
        <w:gridCol w:w="135"/>
        <w:gridCol w:w="1095"/>
        <w:gridCol w:w="80"/>
      </w:tblGrid>
      <w:tr>
        <w:tc>
          <w:tcPr>
            <w:tcW w:w="422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61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30,</w:t>
            </w:r>
          </w:p>
        </w:tc>
        <w:tc>
          <w:tcPr>
            <w:tcW w:w="80" w:type="dxa"/>
            <w:tcBorders/>
            <w:vAlign w:val="center"/>
          </w:tcPr>
          <w:p>
            <w:pPr>
              <w:pStyle w:val="TableContents"/>
              <w:bidi w:val="0"/>
              <w:spacing w:before="0" w:after="283"/>
              <w:jc w:val="left"/>
            </w:pPr>
            <w:r>
              <w:t> </w:t>
            </w:r>
          </w:p>
        </w:tc>
      </w:tr>
      <w:tr>
        <w:tc>
          <w:tcPr>
            <w:tcW w:w="422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6" w:type="dxa"/>
            <w:tcBorders/>
            <w:vAlign w:val="center"/>
          </w:tcPr>
          <w:p>
            <w:pPr>
              <w:pStyle w:val="TableContents"/>
              <w:bidi w:val="0"/>
              <w:spacing w:before="0" w:after="283"/>
              <w:jc w:val="left"/>
            </w:pPr>
            <w:r>
              <w:t> </w:t>
            </w:r>
          </w:p>
        </w:tc>
        <w:tc>
          <w:tcPr>
            <w:tcW w:w="65" w:type="dxa"/>
            <w:tcBorders/>
            <w:vAlign w:val="center"/>
          </w:tcPr>
          <w:p>
            <w:pPr>
              <w:pStyle w:val="TableContents"/>
              <w:bidi w:val="0"/>
              <w:spacing w:before="0" w:after="283"/>
              <w:ind w:left="0" w:right="0" w:hanging="0"/>
              <w:jc w:val="left"/>
            </w:pPr>
            <w: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pPr>
            <w: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(20,011,389</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pPr>
            <w: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(16,874,264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(733,318</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12,723,481</w:t>
            </w:r>
          </w:p>
        </w:tc>
        <w:tc>
          <w:tcPr>
            <w:tcW w:w="80" w:type="dxa"/>
            <w:tcBorders/>
            <w:shd w:fill="FFFFFF" w:val="clear"/>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18,569,042</w:t>
            </w:r>
          </w:p>
        </w:tc>
        <w:tc>
          <w:tcPr>
            <w:tcW w:w="86"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4,588,687</w:t>
            </w:r>
          </w:p>
        </w:tc>
        <w:tc>
          <w:tcPr>
            <w:tcW w:w="80" w:type="dxa"/>
            <w:tcBorders/>
            <w:shd w:fill="CCEEFF" w:val="clear"/>
            <w:vAlign w:val="center"/>
          </w:tcPr>
          <w:p>
            <w:pPr>
              <w:pStyle w:val="TableContents"/>
              <w:bidi w:val="0"/>
              <w:spacing w:before="0" w:after="283"/>
              <w:jc w:val="left"/>
            </w:pPr>
            <w:r>
              <w:t> </w:t>
            </w:r>
          </w:p>
        </w:tc>
      </w:tr>
      <w:t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ind w:left="0" w:right="0" w:hanging="0"/>
              <w:jc w:val="left"/>
            </w:pPr>
            <w: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(2,175,665</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pPr>
            <w: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437,904</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2026, cash used in operating activities was $20.0 million. The net cash outflow from operations primarily resulted from net loss of $20.4 million, accretion of discount on marketable securities of $0.2 million, and changes in operating assets and liabilities of $0.4 million, partially offset by a non-cash expense of $1.0 million for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cash used in operating activities was $16.9 million. The net cash outflow from operations primarily resulted from net loss of $18.9 million and accretion of discount on marketable securities of $0.7 million, partially offset by changes in operating assets and liabilities of $1.6 million and by a non-cash expense of $1.1 million for stock-based compensation.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2026, cash used in investing activities was $0.7 million due to the purchase of marketable securities, partially offset by the maturities of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cash provided by investing activities was $12.7 million due to the maturities of marketable securities, offset by the purchase of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2026, cash provided by financing activities was $18.6 million primarily due to proceeds from the 2026 Private Placement and the 2026 Registered Direct Offering, net of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cash provided by financing activities was $4.6 million due to proceeds from the sale of common stock for $4.6 million, net of offering costs, pursuant to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Contractual Obligations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enter into contracts in the normal course of business with third-party contract organizations for clinical trials, nonclinical studies and manufacturing, and other services for operating purposes. The amount and timing of contractual obligations may vary based on the timing of services. We can generally elect to discontinue the work under these agreements at any time. In the future, we could also enter into additional collaborative research, contract research, manufacturing, and supplier agreements which may require upfront payments or long-term commitments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as defined by the rules and regulations of the SEC that have or are reasonably likely to have a material effect on our financial condition, changes in financial condition, revenue or expenses, results of operations, liquidity, capital expenditures or capital resources. As a result, we are not materially exposed to any financing, liquidity, market or credit risk that could arise if we had engaged in these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2026, there were no material changes to our critical accounting policies and estimates from those described under the heading "Management's Discussion and Analysis of Financial Condition and Results of Operations" in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description of recently issued accounting pronouncements that may potentially impact our financial position and results of operations is disclosed in </w:t>
      </w:r>
      <w:r>
        <w:rPr>
          <w:rFonts w:ascii="Times New Roman" w:hAnsi="Times New Roman"/>
          <w:i/>
          <w:caps w:val="false"/>
          <w:smallCaps w:val="false"/>
          <w:sz w:val="20"/>
        </w:rPr>
        <w:t xml:space="preserve">Note 3, Summary of Significant Accounting Policies, </w:t>
      </w:r>
      <w:r>
        <w:rPr>
          <w:rFonts w:ascii="Times New Roman" w:hAnsi="Times New Roman"/>
          <w:caps w:val="false"/>
          <w:smallCaps w:val="false"/>
          <w:sz w:val="20"/>
        </w:rPr>
        <w:t>in the notes accompanying the unaudited condensed consolidated interim financial statements included in Part I, Item 1 of this Quarterly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Normal"/>
        <w:bidi w:val="0"/>
        <w:spacing w:before="0" w:after="0"/>
        <w:ind w:left="0" w:right="0" w:hanging="0"/>
        <w:jc w:val="left"/>
        <w:rPr>
          <w:sz w:val="4"/>
          <w:szCs w:val="4"/>
        </w:rPr>
      </w:pPr>
      <w:r>
        <w:rPr>
          <w:sz w:val="4"/>
          <w:szCs w:val="4"/>
        </w:rPr>
      </w:r>
      <w:bookmarkStart w:id="2" w:name="p1i3"/>
      <w:bookmarkStart w:id="3" w:name="p1i3"/>
      <w:bookmarkEnd w:id="3"/>
    </w:p>
    <w:tbl>
      <w:tblPr>
        <w:tblW w:w="7705" w:type="dxa"/>
        <w:jc w:val="left"/>
        <w:tblInd w:w="0" w:type="dxa"/>
        <w:tblLayout w:type="fixed"/>
        <w:tblCellMar>
          <w:top w:w="0" w:type="dxa"/>
          <w:left w:w="0" w:type="dxa"/>
          <w:bottom w:w="0" w:type="dxa"/>
          <w:right w:w="0" w:type="dxa"/>
        </w:tblCellMar>
      </w:tblPr>
      <w:tblGrid>
        <w:gridCol w:w="740"/>
        <w:gridCol w:w="6965"/>
      </w:tblGrid>
      <w:t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69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“smaller reporting company” as defined by Item 10 of Regulation S-K, promulgated by the SEC under the Securities Act and Rule 12b-2 of the Exchange Act, we are not required to provide the information required by this Item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4" w:name="p1i4"/>
      <w:bookmarkStart w:id="5" w:name="p1i4"/>
      <w:bookmarkEnd w:id="5"/>
    </w:p>
    <w:tbl>
      <w:tblPr>
        <w:tblW w:w="3655" w:type="dxa"/>
        <w:jc w:val="left"/>
        <w:tblInd w:w="0" w:type="dxa"/>
        <w:tblLayout w:type="fixed"/>
        <w:tblCellMar>
          <w:top w:w="0" w:type="dxa"/>
          <w:left w:w="0" w:type="dxa"/>
          <w:bottom w:w="0" w:type="dxa"/>
          <w:right w:w="0" w:type="dxa"/>
        </w:tblCellMar>
      </w:tblPr>
      <w:tblGrid>
        <w:gridCol w:w="740"/>
        <w:gridCol w:w="2915"/>
      </w:tblGrid>
      <w:t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29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defined in Rules 13a-15(e) and 15d-15(e) promulgated under the Exchange Act) that are designed to provide reasonable assurance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principal executive officer and principal financial officer, the effectiveness of the design and operation of our disclosure controls and procedures as of the end of the period covered in this report. Based on that evaluation, our principal executive officer and principal financial officer concluded that our disclosure controls and procedures are effective as of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such term is defined in Exchange Act Rule 13a-15(f)) that occurred during the quarter ended September 30, 2026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firstLine="180"/>
        <w:jc w:val="center"/>
        <w:rPr>
          <w:rFonts w:ascii="Times New Roman" w:hAnsi="Times New Roman"/>
          <w:caps w:val="false"/>
          <w:smallCaps w:val="false"/>
          <w:sz w:val="20"/>
        </w:rPr>
      </w:pPr>
      <w:bookmarkStart w:id="6" w:name="p2"/>
      <w:bookmarkEnd w:id="6"/>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7" w:name="p2i1"/>
      <w:bookmarkStart w:id="8" w:name="p2i1"/>
      <w:bookmarkEnd w:id="8"/>
    </w:p>
    <w:tbl>
      <w:tblPr>
        <w:tblW w:w="2905" w:type="dxa"/>
        <w:jc w:val="left"/>
        <w:tblInd w:w="0" w:type="dxa"/>
        <w:tblLayout w:type="fixed"/>
        <w:tblCellMar>
          <w:top w:w="0" w:type="dxa"/>
          <w:left w:w="0" w:type="dxa"/>
          <w:bottom w:w="0" w:type="dxa"/>
          <w:right w:w="0" w:type="dxa"/>
        </w:tblCellMar>
      </w:tblPr>
      <w:tblGrid>
        <w:gridCol w:w="740"/>
        <w:gridCol w:w="2165"/>
      </w:tblGrid>
      <w:t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21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 xml:space="preserve">Please refer to </w:t>
      </w:r>
      <w:r>
        <w:rPr>
          <w:rFonts w:ascii="Times New Roman" w:hAnsi="Times New Roman"/>
          <w:i/>
          <w:caps w:val="false"/>
          <w:smallCaps w:val="false"/>
          <w:sz w:val="20"/>
        </w:rPr>
        <w:t>Note 8, Commitments and Contingencies</w:t>
      </w:r>
      <w:r>
        <w:rPr>
          <w:rFonts w:ascii="Times New Roman" w:hAnsi="Times New Roman"/>
          <w:caps w:val="false"/>
          <w:smallCaps w:val="false"/>
          <w:sz w:val="20"/>
        </w:rPr>
        <w:t xml:space="preserve"> in the notes accompanying the unaudited condensed consolidated interim financial statements included in Part I, Item 1 of this Quarterly Report,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9" w:name="p2i1a"/>
      <w:bookmarkStart w:id="10" w:name="p2i1a"/>
      <w:bookmarkEnd w:id="10"/>
    </w:p>
    <w:tbl>
      <w:tblPr>
        <w:tblW w:w="2320" w:type="dxa"/>
        <w:jc w:val="left"/>
        <w:tblInd w:w="0" w:type="dxa"/>
        <w:tblLayout w:type="fixed"/>
        <w:tblCellMar>
          <w:top w:w="0" w:type="dxa"/>
          <w:left w:w="0" w:type="dxa"/>
          <w:bottom w:w="0" w:type="dxa"/>
          <w:right w:w="0" w:type="dxa"/>
        </w:tblCellMar>
      </w:tblPr>
      <w:tblGrid>
        <w:gridCol w:w="875"/>
        <w:gridCol w:w="1445"/>
      </w:tblGrid>
      <w:t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w:t>
            </w:r>
          </w:p>
        </w:tc>
        <w:tc>
          <w:tcPr>
            <w:tcW w:w="14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date of this Quarterly Report, there have been no material changes to our risk factors previously disclosed in our Annual Report other than noted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are a defendant in litigation brought by one of our investors. While we believe we have meritorious defenses to the investors</w:t>
      </w:r>
      <w:r>
        <w:rPr>
          <w:rFonts w:ascii="Times New Roman" w:hAnsi="Times New Roman"/>
          <w:caps w:val="false"/>
          <w:smallCaps w:val="false"/>
          <w:sz w:val="20"/>
        </w:rPr>
        <w:t xml:space="preserve">’ </w:t>
      </w:r>
      <w:r>
        <w:rPr>
          <w:rFonts w:ascii="Times New Roman" w:hAnsi="Times New Roman"/>
          <w:b/>
          <w:i/>
          <w:caps w:val="false"/>
          <w:smallCaps w:val="false"/>
          <w:sz w:val="20"/>
        </w:rPr>
        <w:t>claims and intend to vigorously defend the Company against such claims, the outcome of litigation is inherently uncertain and the outcome of this matter could adversely affect our financial condition, our ability to raise capital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26, 2026, Armistice filed a lawsuit against the Company and certain of its stockholders in the United States District Court for the Southern District of New York, which was subsequently amended on September 29, 2026. The complaint asserts that, by obtaining a waiver and consummating the 2026 Registered Direct Offering, the Company breached the Securities Purchase Agreement entered into with Armistice and certain other investors. The complaint seeks unspecified damages, attorneys’ fees, expert fees, and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believe we have meritorious defenses to Armistice’s claims and intend to vigorously defend against them, litigation is inherently uncertain, and we cannot predict its outcome or possible loss or range of loss, if any, associated with its resolution. Defending this action has caused us, and is expected to continue to cause us, to incur significant legal and other expenses. Those expenses could be material whether or not we prevail and may not be covered, in whole or in part, by insurance. If Armistice prevails, we may also be required to pay its attorneys’ fees and costs under the terms of the Securities Purchase Agreement. We may also be obligated to indemnify and advance expenses to certain of the individual defendants under our charter, bylaws and indemnification agreements. The litigation may also divert our management and Board from our clinical development programs and other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adverse judgment, or a settlement on unfavorable terms, could require us to make substantial payments or to issue additional securities, which could dilute our stockholders. Our cash resources are limited and management has concluded that substantial doubt exists about our ability to continue as a going concern. As a result, any such payment, and the continuing cost of defense, could materially reduce the funds available for our operations and could require us to delay, reduce, or discontinue one or more of clinical development programs. In addition, the pendency of this litigation, and any similar claims by investors in our financings, could make it more difficult for us to raise additional capital on acceptable terms, or at all. Any of these outcomes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1" w:name="p2i2"/>
      <w:bookmarkStart w:id="12" w:name="p2i2"/>
      <w:bookmarkEnd w:id="12"/>
    </w:p>
    <w:tbl>
      <w:tblPr>
        <w:tblW w:w="7585" w:type="dxa"/>
        <w:jc w:val="left"/>
        <w:tblInd w:w="0" w:type="dxa"/>
        <w:tblLayout w:type="fixed"/>
        <w:tblCellMar>
          <w:top w:w="0" w:type="dxa"/>
          <w:left w:w="0" w:type="dxa"/>
          <w:bottom w:w="0" w:type="dxa"/>
          <w:right w:w="0" w:type="dxa"/>
        </w:tblCellMar>
      </w:tblPr>
      <w:tblGrid>
        <w:gridCol w:w="740"/>
        <w:gridCol w:w="6845"/>
      </w:tblGrid>
      <w:t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68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3" w:name="p2i3"/>
      <w:bookmarkStart w:id="14" w:name="p2i3"/>
      <w:bookmarkEnd w:id="14"/>
    </w:p>
    <w:tbl>
      <w:tblPr>
        <w:tblW w:w="4375" w:type="dxa"/>
        <w:jc w:val="left"/>
        <w:tblInd w:w="0" w:type="dxa"/>
        <w:tblLayout w:type="fixed"/>
        <w:tblCellMar>
          <w:top w:w="0" w:type="dxa"/>
          <w:left w:w="0" w:type="dxa"/>
          <w:bottom w:w="0" w:type="dxa"/>
          <w:right w:w="0" w:type="dxa"/>
        </w:tblCellMar>
      </w:tblPr>
      <w:tblGrid>
        <w:gridCol w:w="740"/>
        <w:gridCol w:w="3635"/>
      </w:tblGrid>
      <w:t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36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40"/>
        <w:gridCol w:w="2750"/>
      </w:tblGrid>
      <w:t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5" w:name="p2i4"/>
            <w:bookmarkEnd w:id="15"/>
            <w:r>
              <w:rPr>
                <w:rFonts w:ascii="Times New Roman" w:hAnsi="Times New Roman"/>
                <w:b/>
                <w:caps w:val="false"/>
                <w:smallCaps w:val="false"/>
                <w:sz w:val="20"/>
              </w:rPr>
              <w:t>ITEM 4.</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MINE SAFETY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pPr>
      <w:r>
        <w:t> </w:t>
      </w:r>
    </w:p>
    <w:p>
      <w:pPr>
        <w:pStyle w:val="Normal"/>
        <w:bidi w:val="0"/>
        <w:spacing w:before="0" w:after="0"/>
        <w:ind w:left="0" w:right="0" w:hanging="0"/>
        <w:jc w:val="left"/>
        <w:rPr>
          <w:sz w:val="4"/>
          <w:szCs w:val="4"/>
        </w:rPr>
      </w:pPr>
      <w:r>
        <w:rPr>
          <w:sz w:val="4"/>
          <w:szCs w:val="4"/>
        </w:rPr>
      </w:r>
      <w:bookmarkStart w:id="16" w:name="p2i5"/>
      <w:bookmarkStart w:id="17" w:name="p2i5"/>
      <w:bookmarkEnd w:id="17"/>
    </w:p>
    <w:tbl>
      <w:tblPr>
        <w:tblW w:w="2935" w:type="dxa"/>
        <w:jc w:val="left"/>
        <w:tblInd w:w="0" w:type="dxa"/>
        <w:tblLayout w:type="fixed"/>
        <w:tblCellMar>
          <w:top w:w="0" w:type="dxa"/>
          <w:left w:w="0" w:type="dxa"/>
          <w:bottom w:w="0" w:type="dxa"/>
          <w:right w:w="0" w:type="dxa"/>
        </w:tblCellMar>
      </w:tblPr>
      <w:tblGrid>
        <w:gridCol w:w="740"/>
        <w:gridCol w:w="2195"/>
      </w:tblGrid>
      <w:t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w:t>
            </w:r>
          </w:p>
        </w:tc>
        <w:tc>
          <w:tcPr>
            <w:tcW w:w="21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three months ended September 30, 2026, none of our directors or officers (as defined in Rule 16a-1(f) of the Exchange Act), adopted, terminated or modified a Rule 10b5-1 trading arrangement or non-Rule 10b5-1 trading arrangement (as such terms are defined in Item 408 of Regulation S-K).</w:t>
      </w:r>
    </w:p>
    <w:p>
      <w:pPr>
        <w:pStyle w:val="TextBody"/>
        <w:bidi w:val="0"/>
        <w:spacing w:before="0" w:after="283"/>
        <w:jc w:val="left"/>
      </w:pPr>
      <w: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tbl>
      <w:tblPr>
        <w:tblW w:w="1705" w:type="dxa"/>
        <w:jc w:val="left"/>
        <w:tblInd w:w="0" w:type="dxa"/>
        <w:tblLayout w:type="fixed"/>
        <w:tblCellMar>
          <w:top w:w="0" w:type="dxa"/>
          <w:left w:w="0" w:type="dxa"/>
          <w:bottom w:w="0" w:type="dxa"/>
          <w:right w:w="0" w:type="dxa"/>
        </w:tblCellMar>
      </w:tblPr>
      <w:tblGrid>
        <w:gridCol w:w="740"/>
        <w:gridCol w:w="965"/>
      </w:tblGrid>
      <w:t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18" w:name="p2i6"/>
            <w:bookmarkEnd w:id="18"/>
            <w:r>
              <w:rPr>
                <w:rFonts w:ascii="Times New Roman" w:hAnsi="Times New Roman"/>
                <w:b/>
                <w:caps w:val="false"/>
                <w:smallCaps w:val="false"/>
                <w:sz w:val="20"/>
              </w:rPr>
              <w:t>ITEM 6.</w:t>
            </w:r>
          </w:p>
        </w:tc>
        <w:tc>
          <w:tcPr>
            <w:tcW w:w="9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965"/>
        <w:gridCol w:w="7520"/>
        <w:gridCol w:w="1625"/>
      </w:tblGrid>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 No.</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Description</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Method of Filing</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7520" w:type="dxa"/>
            <w:tcBorders/>
            <w:vAlign w:val="center"/>
          </w:tcPr>
          <w:p>
            <w:pPr>
              <w:pStyle w:val="TableContents"/>
              <w:bidi w:val="0"/>
              <w:spacing w:before="0" w:after="0"/>
              <w:ind w:left="0" w:right="0" w:hanging="0"/>
              <w:jc w:val="left"/>
            </w:pPr>
            <w:hyperlink w:anchor="ex_1039327.htm">
              <w:r>
                <w:rPr>
                  <w:rStyle w:val="InternetLink"/>
                  <w:rFonts w:ascii="Times New Roman" w:hAnsi="Times New Roman"/>
                  <w:caps w:val="false"/>
                  <w:smallCaps w:val="false"/>
                  <w:sz w:val="20"/>
                </w:rPr>
                <w:t>Certification of the Principal Executive Officer pursuant to Rule 13a-14(a) or Rule 15d-14(a)</w:t>
              </w:r>
            </w:hyperlink>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7520" w:type="dxa"/>
            <w:tcBorders/>
            <w:vAlign w:val="center"/>
          </w:tcPr>
          <w:p>
            <w:pPr>
              <w:pStyle w:val="TableContents"/>
              <w:bidi w:val="0"/>
              <w:spacing w:before="0" w:after="0"/>
              <w:ind w:left="0" w:right="0" w:hanging="0"/>
              <w:jc w:val="left"/>
            </w:pPr>
            <w:hyperlink w:anchor="ex_1039328.htm">
              <w:r>
                <w:rPr>
                  <w:rStyle w:val="InternetLink"/>
                  <w:rFonts w:ascii="Times New Roman" w:hAnsi="Times New Roman"/>
                  <w:caps w:val="false"/>
                  <w:smallCaps w:val="false"/>
                  <w:sz w:val="20"/>
                </w:rPr>
                <w:t>Certification of the Principal Financial Officer pursuant to Rule 13a-14(a) or Rule 15d-14(a)</w:t>
              </w:r>
            </w:hyperlink>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7520" w:type="dxa"/>
            <w:tcBorders/>
            <w:vAlign w:val="center"/>
          </w:tcPr>
          <w:p>
            <w:pPr>
              <w:pStyle w:val="TableContents"/>
              <w:bidi w:val="0"/>
              <w:spacing w:before="0" w:after="0"/>
              <w:ind w:left="0" w:right="0" w:hanging="0"/>
              <w:jc w:val="left"/>
            </w:pPr>
            <w:hyperlink w:anchor="ex_1039329.htm">
              <w:r>
                <w:rPr>
                  <w:rStyle w:val="InternetLink"/>
                  <w:rFonts w:ascii="Times New Roman" w:hAnsi="Times New Roman"/>
                  <w:caps w:val="false"/>
                  <w:smallCaps w:val="false"/>
                  <w:sz w:val="20"/>
                </w:rPr>
                <w:t>Certification of Principal Executive Officer pursuant to Rule 13a-14(b) or Rule 15d-14(b)</w:t>
              </w:r>
            </w:hyperlink>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7520" w:type="dxa"/>
            <w:tcBorders/>
            <w:vAlign w:val="center"/>
          </w:tcPr>
          <w:p>
            <w:pPr>
              <w:pStyle w:val="TableContents"/>
              <w:bidi w:val="0"/>
              <w:spacing w:before="0" w:after="0"/>
              <w:ind w:left="0" w:right="0" w:hanging="0"/>
              <w:jc w:val="left"/>
            </w:pPr>
            <w:hyperlink w:anchor="ex_1039330.htm">
              <w:r>
                <w:rPr>
                  <w:rStyle w:val="InternetLink"/>
                  <w:rFonts w:ascii="Times New Roman" w:hAnsi="Times New Roman"/>
                  <w:caps w:val="false"/>
                  <w:smallCaps w:val="false"/>
                  <w:sz w:val="20"/>
                </w:rPr>
                <w:t>Certification of Principal Financial Officer pursuant to Rule 13a-14(b) or Rule 15d-14(b)</w:t>
              </w:r>
            </w:hyperlink>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Exhibits 101)</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000"/>
        <w:gridCol w:w="320"/>
        <w:gridCol w:w="2480"/>
        <w:gridCol w:w="60"/>
      </w:tblGrid>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54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Alam</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80" w:type="dxa"/>
            <w:tcBorders/>
            <w:vAlign w:val="center"/>
          </w:tcPr>
          <w:p>
            <w:pPr>
              <w:pStyle w:val="TableContents"/>
              <w:bidi w:val="0"/>
              <w:spacing w:before="0" w:after="283"/>
              <w:jc w:val="left"/>
            </w:pPr>
            <w:r>
              <w:t>Officer</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80" w:type="dxa"/>
            <w:tcBorders/>
            <w:vAlign w:val="center"/>
          </w:tcPr>
          <w:p>
            <w:pPr>
              <w:pStyle w:val="TableContents"/>
              <w:bidi w:val="0"/>
              <w:spacing w:before="0" w:after="283"/>
              <w:jc w:val="left"/>
            </w:pPr>
            <w:r>
              <w:t>and General Counsel</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35</w:t>
      </w:r>
    </w:p>
    <w:p>
      <w:pPr>
        <w:pStyle w:val="TextBody"/>
        <w:bidi w:val="0"/>
        <w:spacing w:before="0" w:after="0"/>
        <w:ind w:left="0" w:right="0" w:hanging="0"/>
        <w:jc w:val="right"/>
        <w:rPr>
          <w:rFonts w:ascii="Times New Roman;Times;serif" w:hAnsi="Times New Roman;Times;serif"/>
          <w:b/>
          <w:sz w:val="20"/>
        </w:rPr>
      </w:pPr>
      <w:bookmarkStart w:id="19" w:name="ex_1039327.htm"/>
      <w:bookmarkStart w:id="20" w:name="ksex_1039327"/>
      <w:bookmarkEnd w:id="19"/>
      <w:bookmarkEnd w:id="20"/>
      <w:r>
        <w:rPr>
          <w:rFonts w:ascii="Times New Roman;Times;serif" w:hAnsi="Times New Roman;Times;serif"/>
          <w:b/>
          <w:sz w:val="20"/>
        </w:rPr>
        <w:t>Exhibit 31.1</w:t>
      </w:r>
      <w:r>
        <w:br w:type="page"/>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 RULES 13a-14(a) AND 15d-14(a) UNDER THE SECURITIES EXCHANGE ACT OF 1934, AS AMENDED, AS ADOPTED PURSUANT TO SECTION 302 OF THE SARBANES 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John J. Alam, MD,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sz w:val="20"/>
        </w:rPr>
      </w:pPr>
      <w:r>
        <w:rPr>
          <w:rFonts w:ascii="Times New Roman" w:hAnsi="Times New Roman"/>
          <w:sz w:val="20"/>
        </w:rPr>
        <w:t>1.    I have reviewed this Quarterly Report on Form 10-Q of CervoMed Inc.;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2026</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75"/>
        <w:gridCol w:w="3080"/>
        <w:gridCol w:w="75"/>
      </w:tblGrid>
      <w:tr>
        <w:tc>
          <w:tcPr>
            <w:tcW w:w="75" w:type="dxa"/>
            <w:tcBorders/>
            <w:vAlign w:val="center"/>
          </w:tcPr>
          <w:p>
            <w:pPr>
              <w:pStyle w:val="TableContents"/>
              <w:bidi w:val="0"/>
              <w:spacing w:before="0" w:after="283"/>
              <w:jc w:val="left"/>
            </w:pPr>
            <w:r>
              <w:t> </w:t>
            </w:r>
          </w:p>
        </w:tc>
        <w:tc>
          <w:tcPr>
            <w:tcW w:w="308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J. Alam</w:t>
            </w:r>
          </w:p>
        </w:tc>
        <w:tc>
          <w:tcPr>
            <w:tcW w:w="7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3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J. Alam, MD</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c>
          <w:tcPr>
            <w:tcW w:w="75"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pPr>
      <w:r>
        <w:t> </w:t>
      </w:r>
    </w:p>
    <w:p>
      <w:pPr>
        <w:pStyle w:val="TextBody"/>
        <w:bidi w:val="0"/>
        <w:spacing w:before="0" w:after="0"/>
        <w:ind w:left="0" w:right="0" w:hanging="0"/>
        <w:jc w:val="right"/>
        <w:rPr>
          <w:rFonts w:ascii="Times New Roman;Times;serif" w:hAnsi="Times New Roman;Times;serif"/>
          <w:b/>
          <w:sz w:val="20"/>
        </w:rPr>
      </w:pPr>
      <w:bookmarkStart w:id="21" w:name="ex_1039328.htm"/>
      <w:bookmarkStart w:id="22" w:name="ksex_1039328"/>
      <w:bookmarkEnd w:id="21"/>
      <w:bookmarkEnd w:id="22"/>
      <w:r>
        <w:rPr>
          <w:rFonts w:ascii="Times New Roman;Times;serif" w:hAnsi="Times New Roman;Times;serif"/>
          <w:b/>
          <w:sz w:val="20"/>
        </w:rPr>
        <w:t>Exhibit 31.2</w:t>
      </w:r>
      <w:r>
        <w:br w:type="page"/>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 TO RULES 13a-14(a) AND 15d-14(a) UNDER THE SECURITIES EXCHANGE ACT OF 1934, AS AMENDED, AS ADOPTED PURSUANT TO SECTION 302 OF THE SARBANES 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William Elder,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sz w:val="20"/>
        </w:rPr>
      </w:pPr>
      <w:r>
        <w:rPr>
          <w:rFonts w:ascii="Times New Roman" w:hAnsi="Times New Roman"/>
          <w:sz w:val="20"/>
        </w:rPr>
        <w:t>1.    I have reviewed this Quarterly Report on Form 10-Q of CervoMed Inc.;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2026</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75"/>
        <w:gridCol w:w="3470"/>
        <w:gridCol w:w="75"/>
      </w:tblGrid>
      <w:tr>
        <w:tc>
          <w:tcPr>
            <w:tcW w:w="75" w:type="dxa"/>
            <w:tcBorders/>
            <w:vAlign w:val="center"/>
          </w:tcPr>
          <w:p>
            <w:pPr>
              <w:pStyle w:val="TableContents"/>
              <w:bidi w:val="0"/>
              <w:spacing w:before="0" w:after="283"/>
              <w:jc w:val="left"/>
            </w:pPr>
            <w: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William Elder</w:t>
            </w:r>
          </w:p>
        </w:tc>
        <w:tc>
          <w:tcPr>
            <w:tcW w:w="7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3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Elder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&amp; General Counsel</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w:t>
            </w:r>
          </w:p>
        </w:tc>
        <w:tc>
          <w:tcPr>
            <w:tcW w:w="75"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pPr>
      <w:r>
        <w:t> </w:t>
      </w:r>
    </w:p>
    <w:p>
      <w:pPr>
        <w:pStyle w:val="TextBody"/>
        <w:bidi w:val="0"/>
        <w:spacing w:before="0" w:after="0"/>
        <w:ind w:left="0" w:right="0" w:hanging="0"/>
        <w:jc w:val="right"/>
        <w:rPr>
          <w:rFonts w:ascii="Times New Roman;Times;serif" w:hAnsi="Times New Roman;Times;serif"/>
          <w:b/>
          <w:sz w:val="20"/>
        </w:rPr>
      </w:pPr>
      <w:bookmarkStart w:id="23" w:name="ex_1039329.htm"/>
      <w:bookmarkStart w:id="24" w:name="ksex_1039329"/>
      <w:bookmarkEnd w:id="23"/>
      <w:bookmarkEnd w:id="24"/>
      <w:r>
        <w:rPr>
          <w:rFonts w:ascii="Times New Roman;Times;serif" w:hAnsi="Times New Roman;Times;serif"/>
          <w:b/>
          <w:sz w:val="20"/>
        </w:rPr>
        <w:t>Exhibit 32.1</w:t>
      </w:r>
      <w:r>
        <w:br w:type="page"/>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CervoMed Inc. (the “Company”) for the period ended September 30, 2026 as filed with the Securities and Exchange Commission on the date hereof (the “Report”), I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c>
          <w:tcPr>
            <w:tcW w:w="6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c>
          <w:tcPr>
            <w:tcW w:w="6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2026</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75"/>
        <w:gridCol w:w="3080"/>
        <w:gridCol w:w="75"/>
      </w:tblGrid>
      <w:tr>
        <w:tc>
          <w:tcPr>
            <w:tcW w:w="75" w:type="dxa"/>
            <w:tcBorders/>
            <w:vAlign w:val="center"/>
          </w:tcPr>
          <w:p>
            <w:pPr>
              <w:pStyle w:val="TableContents"/>
              <w:bidi w:val="0"/>
              <w:spacing w:before="0" w:after="283"/>
              <w:jc w:val="left"/>
            </w:pPr>
            <w: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John J. Alam</w:t>
            </w:r>
          </w:p>
        </w:tc>
        <w:tc>
          <w:tcPr>
            <w:tcW w:w="7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3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J. Alam, MD</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c>
          <w:tcPr>
            <w:tcW w:w="75"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pPr>
      <w:r>
        <w:t> </w:t>
      </w:r>
    </w:p>
    <w:p>
      <w:pPr>
        <w:pStyle w:val="TextBody"/>
        <w:bidi w:val="0"/>
        <w:spacing w:before="0" w:after="0"/>
        <w:ind w:left="0" w:right="0" w:hanging="0"/>
        <w:jc w:val="right"/>
        <w:rPr>
          <w:rFonts w:ascii="Times New Roman;Times;serif" w:hAnsi="Times New Roman;Times;serif"/>
          <w:b/>
          <w:sz w:val="20"/>
        </w:rPr>
      </w:pPr>
      <w:bookmarkStart w:id="25" w:name="ex_1039330.htm"/>
      <w:bookmarkStart w:id="26" w:name="ksex_1039330"/>
      <w:bookmarkEnd w:id="25"/>
      <w:bookmarkEnd w:id="26"/>
      <w:r>
        <w:rPr>
          <w:rFonts w:ascii="Times New Roman;Times;serif" w:hAnsi="Times New Roman;Times;serif"/>
          <w:b/>
          <w:sz w:val="20"/>
        </w:rPr>
        <w:t>Exhibit 32.2</w:t>
      </w:r>
      <w:r>
        <w:br w:type="page"/>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CervoMed Inc. (the “Company”) for the period ended September 30, 2026 as filed with the Securities and Exchange Commission on the date hereof (the “Report”), I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c>
          <w:tcPr>
            <w:tcW w:w="6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c>
          <w:tcPr>
            <w:tcW w:w="60" w:type="dxa"/>
            <w:tcBorders/>
            <w:vAlign w:val="center"/>
          </w:tcPr>
          <w:p>
            <w:pPr>
              <w:pStyle w:val="TableContents"/>
              <w:bidi w:val="0"/>
              <w:spacing w:before="0" w:after="283"/>
              <w:jc w:val="left"/>
            </w:pPr>
            <w:r>
              <w:t> </w:t>
            </w:r>
          </w:p>
        </w:tc>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2026</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75"/>
        <w:gridCol w:w="3470"/>
        <w:gridCol w:w="75"/>
      </w:tblGrid>
      <w:tr>
        <w:tc>
          <w:tcPr>
            <w:tcW w:w="75" w:type="dxa"/>
            <w:tcBorders/>
            <w:vAlign w:val="center"/>
          </w:tcPr>
          <w:p>
            <w:pPr>
              <w:pStyle w:val="TableContents"/>
              <w:bidi w:val="0"/>
              <w:spacing w:before="0" w:after="283"/>
              <w:jc w:val="left"/>
            </w:pPr>
            <w: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William Elder</w:t>
            </w:r>
          </w:p>
        </w:tc>
        <w:tc>
          <w:tcPr>
            <w:tcW w:w="7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3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Elder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&amp; General Counsel</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w:t>
            </w:r>
          </w:p>
        </w:tc>
        <w:tc>
          <w:tcPr>
            <w:tcW w:w="75"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19726</Words>
  <Characters>111099</Characters>
  <CharactersWithSpaces>132107</CharactersWithSpaces>
  <Paragraphs>5416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