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CervoMed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Woodline Partners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688,987.00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688,987.00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688,987.00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2"/>
        <w:gridCol w:w="8918"/>
        <w:gridCol w:w="155"/>
      </w:tblGrid>
      <w:tr>
        <w:trPr/>
        <w:tc>
          <w:tcPr>
            <w:tcW w:w="1132" w:type="dxa"/>
            <w:tcBorders/>
            <w:vAlign w:val="center"/>
          </w:tcPr>
          <w:p>
            <w:pPr>
              <w:pStyle w:val="TableContents"/>
              <w:bidi w:val="0"/>
              <w:spacing w:before="0" w:after="283"/>
              <w:jc w:val="left"/>
              <w:rPr/>
            </w:pPr>
            <w:r>
              <w:rPr/>
              <w:t>Item 1.</w:t>
            </w:r>
          </w:p>
        </w:tc>
        <w:tc>
          <w:tcPr>
            <w:tcW w:w="891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jc w:val="left"/>
              <w:rPr/>
            </w:pPr>
            <w:r>
              <w:rPr/>
              <w:t xml:space="preserve">Name of issuer: </w:t>
            </w:r>
          </w:p>
          <w:p>
            <w:pPr>
              <w:pStyle w:val="TableContents"/>
              <w:bidi w:val="0"/>
              <w:spacing w:before="0" w:after="0"/>
              <w:jc w:val="left"/>
              <w:rPr/>
            </w:pPr>
            <w:r>
              <w:rPr/>
              <w:t>CervoMed Inc.</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 Park Plaza, Suite 424, Boston, Massachusetts 02116</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2.</w:t>
            </w:r>
          </w:p>
        </w:tc>
        <w:tc>
          <w:tcPr>
            <w:tcW w:w="891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Woodline Partners LP ("Woodline Partners" or the "Reporting Person"), a Delaware limited partnership, and the investment adviser to Woodline Master Fund LP (the "Woodline Fund"), with respect to the shares of common stock, par value $0.001 per share ("Common Stock"), of CervoMed Inc. (the "Company") directly held by the Woodline Fund. The filing of this statement should not be construed as an admission that any of the foregoing persons or the Reporting Person is, for the purposes of Section 13 of the Securities Exchange Act of 1934, the beneficial owner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Woodline Partners is 4 Embarcadero Center, Suite 3450, San Francisco, CA 94111.</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(c)</w:t>
            </w:r>
          </w:p>
        </w:tc>
        <w:tc>
          <w:tcPr>
            <w:tcW w:w="8918" w:type="dxa"/>
            <w:tcBorders/>
            <w:vAlign w:val="center"/>
          </w:tcPr>
          <w:p>
            <w:pPr>
              <w:pStyle w:val="TableContents"/>
              <w:bidi w:val="0"/>
              <w:jc w:val="left"/>
              <w:rPr/>
            </w:pPr>
            <w:r>
              <w:rPr/>
              <w:t xml:space="preserve">Citizenship: </w:t>
            </w:r>
          </w:p>
          <w:p>
            <w:pPr>
              <w:pStyle w:val="TableContents"/>
              <w:bidi w:val="0"/>
              <w:spacing w:before="0" w:after="0"/>
              <w:jc w:val="left"/>
              <w:rPr/>
            </w:pPr>
            <w:r>
              <w:rPr/>
              <w:t>Woodline Partners is a 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(d)</w:t>
            </w:r>
          </w:p>
        </w:tc>
        <w:tc>
          <w:tcPr>
            <w:tcW w:w="891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(e)</w:t>
            </w:r>
          </w:p>
        </w:tc>
        <w:tc>
          <w:tcPr>
            <w:tcW w:w="891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3.</w:t>
            </w:r>
          </w:p>
        </w:tc>
        <w:tc>
          <w:tcPr>
            <w:tcW w:w="891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(c)</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(d)</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(e)</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(f)</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(g)</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(h)</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(j)</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(k)</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9073" w:type="dxa"/>
            <w:gridSpan w:val="2"/>
            <w:tcBorders/>
            <w:vAlign w:val="center"/>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4.</w:t>
            </w:r>
          </w:p>
        </w:tc>
        <w:tc>
          <w:tcPr>
            <w:tcW w:w="891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the Reporting Person and is incorporated herein by reference. The percentage set forth in this Schedule 13G is calculated based upon an aggregate of 13,526,233 shares of Common Stock outstanding, as reported in the Company's Prospectus filed pursuant to Rule 424(b)(5) filed with the Securities and Exchange Commission on June 22, 2026, after giving effect to the completion of the offering described therein.</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(c)</w:t>
            </w:r>
          </w:p>
        </w:tc>
        <w:tc>
          <w:tcPr>
            <w:tcW w:w="891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5.</w:t>
            </w:r>
          </w:p>
        </w:tc>
        <w:tc>
          <w:tcPr>
            <w:tcW w:w="891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6.</w:t>
            </w:r>
          </w:p>
        </w:tc>
        <w:tc>
          <w:tcPr>
            <w:tcW w:w="891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Woodline Master Fund LP has right to receive or the power to direct the receipt of dividends from, or the proceeds from the sale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7.</w:t>
            </w:r>
          </w:p>
        </w:tc>
        <w:tc>
          <w:tcPr>
            <w:tcW w:w="891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8.</w:t>
            </w:r>
          </w:p>
        </w:tc>
        <w:tc>
          <w:tcPr>
            <w:tcW w:w="891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9.</w:t>
            </w:r>
          </w:p>
        </w:tc>
        <w:tc>
          <w:tcPr>
            <w:tcW w:w="891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Woodline Partners LP</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Erin Mullen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Erin Mullen, General Counsel &amp; Chief Compliance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1154</Words>
  <Characters>5825</Characters>
  <CharactersWithSpaces>6969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