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CervoMed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CVI Investments, Inc.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6 and Row 8 above, Heights Capital Management, Inc. is the investment manager to CVI Investments, Inc. and as such may exercise voting and dispositive power over the shares reported as beneficially owned by CVI Investments, Inc.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Heights Capital Management,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6 and Row 8 above, Heights Capital Management, Inc. is the investment manager to CVI Investments, Inc. and as such may exercise voting and dispositive power over the shares reported as beneficially owned by CVI Investments, Inc.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0"/>
        <w:gridCol w:w="8930"/>
        <w:gridCol w:w="155"/>
      </w:tblGrid>
      <w:tr>
        <w:trPr/>
        <w:tc>
          <w:tcPr>
            <w:tcW w:w="1120" w:type="dxa"/>
            <w:tcBorders/>
            <w:vAlign w:val="center"/>
          </w:tcPr>
          <w:p>
            <w:pPr>
              <w:pStyle w:val="TableContents"/>
              <w:bidi w:val="0"/>
              <w:spacing w:before="0" w:after="283"/>
              <w:jc w:val="left"/>
              <w:rPr/>
            </w:pPr>
            <w:r>
              <w:rPr/>
              <w:t>Item 1.</w:t>
            </w:r>
          </w:p>
        </w:tc>
        <w:tc>
          <w:tcPr>
            <w:tcW w:w="893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jc w:val="left"/>
              <w:rPr/>
            </w:pPr>
            <w:r>
              <w:rPr/>
              <w:t xml:space="preserve">Name of issuer: </w:t>
            </w:r>
          </w:p>
          <w:p>
            <w:pPr>
              <w:pStyle w:val="TableContents"/>
              <w:bidi w:val="0"/>
              <w:spacing w:before="0" w:after="0"/>
              <w:jc w:val="left"/>
              <w:rPr/>
            </w:pPr>
            <w:r>
              <w:rPr/>
              <w:t>CervoMed Inc.</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 Park Plaza, Suite 424, Boston, MA 02116</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2.</w:t>
            </w:r>
          </w:p>
        </w:tc>
        <w:tc>
          <w:tcPr>
            <w:tcW w:w="893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statement is filed by the entities listed below, who are collectively referred to herein as "Reporting Persons," with respect to the shares of common stock of CervoMed Inc. (the "Company"), $0.001 par value per share (the "Shares"). (i) CVI Investments, Inc. (ii) Heights Capital Management, Inc.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address of the principal business office of CVI Investments, Inc. is: P.O. Box 309GT Ugland House South Church Street George Town Grand Cayman KY1-1104 Cayman Islands The address of the principal business office of Heights Capital Management, Inc. is: 101 California Street, Suite 3250 San Francisco, California 94111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(d)</w:t>
            </w:r>
          </w:p>
        </w:tc>
        <w:tc>
          <w:tcPr>
            <w:tcW w:w="893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(e)</w:t>
            </w:r>
          </w:p>
        </w:tc>
        <w:tc>
          <w:tcPr>
            <w:tcW w:w="893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3.</w:t>
            </w:r>
          </w:p>
        </w:tc>
        <w:tc>
          <w:tcPr>
            <w:tcW w:w="893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(d)</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(e)</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(f)</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(g)</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(h)</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(j)</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(k)</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9085" w:type="dxa"/>
            <w:gridSpan w:val="2"/>
            <w:tcBorders/>
            <w:vAlign w:val="center"/>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4.</w:t>
            </w:r>
          </w:p>
        </w:tc>
        <w:tc>
          <w:tcPr>
            <w:tcW w:w="893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4(a) is set forth in Row 9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The information required by this Item 4(c)(i) is set forth in Row 5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The information required by this Item 4(c)(ii) is set forth in Row 6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The information required by this Item 4(c)(iii) is set forth in Row 7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required by this Item 4(c)(iv) is set forth in Row 8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5.</w:t>
            </w:r>
          </w:p>
        </w:tc>
        <w:tc>
          <w:tcPr>
            <w:tcW w:w="893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6.</w:t>
            </w:r>
          </w:p>
        </w:tc>
        <w:tc>
          <w:tcPr>
            <w:tcW w:w="893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7.</w:t>
            </w:r>
          </w:p>
        </w:tc>
        <w:tc>
          <w:tcPr>
            <w:tcW w:w="893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8.</w:t>
            </w:r>
          </w:p>
        </w:tc>
        <w:tc>
          <w:tcPr>
            <w:tcW w:w="893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9.</w:t>
            </w:r>
          </w:p>
        </w:tc>
        <w:tc>
          <w:tcPr>
            <w:tcW w:w="893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 xml:space="preserve">CVI Investments, Inc. </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9"/>
        <w:gridCol w:w="4206"/>
      </w:tblGrid>
      <w:tr>
        <w:trPr/>
        <w:tc>
          <w:tcPr>
            <w:tcW w:w="59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Sarah Travis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Sarah Travis, Assistant General Counsel and Assistant Secretary of Heights Capital Management, Inc.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 xml:space="preserve">Heights Capital Management, Inc. </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Sarah Travis</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Sarah Travis, Assistant General Counsel and Assistant Secretary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Heights Capital Management, Inc. serves as authorized agent of CVI Investments, Inc. pursuant to a Limited Power of Attorney, a copy of which was previously filed.</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INDEX EXHIBIT DESCRIPTION 24 Limited Power of Attorney* 99 Joint Filing Agreement* * Previously filed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1382</Words>
  <Characters>7131</Characters>
  <CharactersWithSpaces>8496</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