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Filed Pursuant to Rule 424(b)(3)</w:t>
        <w:br/>
        <w:t>Registration No. 333-297279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PROSPECTUS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0002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523875"/>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CERVOMED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10,081,131 Shares of Common Stock</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relates to the offer and resale from time to time by the selling stockholders identified in this prospectus or their donees, pledgees, assigns, transferees, distributees or other successors-in-interest (the “selling stockholders”) of up to an aggregate of 10,081,131 shares of our common stock, par value $0.001 per share (“common stock”), issued by us in a private placement on June 11, 2026 (the “Private Placement”), consisting of (i) 1,767,514 shares of common stock, (ii) 1,592,863 shares of common stock issuable upon the exercise of our pre-funded warrants (the “Pre-Funded Warrants”), (iii) 3,360,377 shares of common stock issuable upon the exercise of outstanding Series B warrants (the “Series B Warrants”), and (iv) 3,360,377 shares of common stock issuable upon the exercise of outstanding Series C warrants (the “Series C Warrants,” and collectively with the Pre-Funded Warrants and Series B Warrants,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not selling any shares of common stock under this prospectus and will not receive any proceeds from the sale by the selling stockholders of such shares. We will, however, receive the net proceeds of any Warrants exercised for cash. We are paying the cost of registering the shares of common stock covered by this prospectus as well as various related expenses. The selling stockholders are responsible for any underwriting discounts and selling commissions and/or similar charges incurred in connection with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of the shares by the selling stockholders may occur at fixed prices, at market prices prevailing at the time of sale, at prices related to prevailing market prices, at negotiated prices and/or at varying prices determined at the time of sale. The selling stockholders may sell shares directly or to or through underwriters, broker-dealers or agents, who may receive compensation in the form of discounts, concessions or commissions from the selling stockholders, the purchasers of the shares, or both. The selling stockholders may sell any, all or none of the securities offered by this prospectus, and we do not know when or in what amount the selling stockholders may sell their shares of common stock hereunder following the effective date of the registration statement of which this prospectus forms a part. We provide more information about how the selling stockholders may sell or otherwise dispose of their shares of Common Stock in the section titled “Plan of Distribution” on page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“CRVO.” On July 9, 2026, the last reported sale price of our common stock was $3.74.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Investing in our securities involves risks. See</w:t>
      </w:r>
      <w:r>
        <w:rPr>
          <w:rFonts w:ascii="Times New Roman" w:hAnsi="Times New Roman"/>
          <w:caps w:val="false"/>
          <w:smallCaps w:val="false"/>
          <w:sz w:val="20"/>
        </w:rPr>
        <w:t> “</w:t>
      </w:r>
      <w:r>
        <w:rPr>
          <w:rFonts w:ascii="Times New Roman" w:hAnsi="Times New Roman"/>
          <w:b/>
          <w:caps w:val="false"/>
          <w:smallCaps w:val="false"/>
          <w:sz w:val="20"/>
        </w:rPr>
        <w:t>Risk Factors</w:t>
      </w:r>
      <w:r>
        <w:rPr>
          <w:rFonts w:ascii="Times New Roman" w:hAnsi="Times New Roman"/>
          <w:caps w:val="false"/>
          <w:smallCaps w:val="false"/>
          <w:sz w:val="20"/>
        </w:rPr>
        <w:t>” </w:t>
      </w:r>
      <w:r>
        <w:rPr>
          <w:rFonts w:ascii="Times New Roman" w:hAnsi="Times New Roman"/>
          <w:b/>
          <w:caps w:val="false"/>
          <w:smallCaps w:val="false"/>
          <w:sz w:val="20"/>
        </w:rPr>
        <w:t>beginning on page 9 of this prospectus for a discussion of the factors you should carefully consider before deciding to purchase these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date of this prospectus is July 10, 2026</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750"/>
        <w:gridCol w:w="230"/>
      </w:tblGrid>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ABOUT THIS PROSPECTUS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PROSPECTUS SUMMARY</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OFFERING</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SPECIAL NOTE REGARDING FORWARD-LOOKING STATEMENTS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STOCKHOLDERS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OF DISTRIBUTION</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MATTERS</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EXPERTS</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YOU CAN FIND MORE INFORMATION</w:t>
            </w:r>
          </w:p>
        </w:tc>
        <w:tc>
          <w:tcPr>
            <w:tcW w:w="2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5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INCORPORATED BY REFERENCE</w:t>
            </w:r>
          </w:p>
        </w:tc>
        <w:tc>
          <w:tcPr>
            <w:tcW w:w="2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ABOUT THIS PROSPECTUS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on Form S-3 that we filed with the Securities and Exchange Commission (the “SEC”), using a “shelf” registration process. Under this registration statement, the selling stockholders may sell, from time to time in one or more offerings, the common stock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stated, all references in this prospectus to “we,” “us,” “our,” “CervoMed,” the “Company” and similar designations refer to CervoMed Inc. This prospectus contains references to trademarks belonging to other entities. Solely for convenience, trademarks and trade names referred to in this prospectus, including logos, artwork and other visual displays,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PROSPECTUS SUMMARY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This summary highlights certain information about us, this offering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information incorporated by reference from our most recent Annual Report on Form 10-K and any subsequent Quarterly Reports on Form 10-Q or Current Reports on Form 8-K, before making an investment decision.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clinical-stage biotechnology company developing treatments for age-related brain disorders. Our lead drug candidate, neflamapimod, is an investigational, orally administered small-molecule drug that readily crosses the blood–brain barrier and selectively inhibits the enzyme p38α,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dementia with Lewy Bodies (“DLB”), our lead indication, as well as non-fluent variant primary progressive aphasia, recovery after stroke, and amyotrophic lateral sclerosis.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novel approach focuses on reducing the impact of neuroinflammation, which we believe is a key factor in the manifestation of degenerative diseases of the brain. Chronic activation of p38α in the brains of people with certain neurodegenerative diseases is believed to impair how neurons communicate through synapses. This synaptic dysfunction leads to deterioration of cognitive and motor abilities. Left untreated, synaptic dysfunction can result in irreversible neuronal loss that leads to devastating disabilities, significant reliance on a caretaker, long term care living, and, ultimately, death. However, before neuronal loss commences, disease progression in many major neurodegenerative disorders, including DLB, initially involves a protracted period of reversible functional loss, particularly with respect to the synapses. We believe that inhibiting p38α activity in the brain has the potential to reverse the clinical progression observed in the early-stages of certain neurodegenerative diseases, as well as slow further progression by delaying permanent synaptic dysfunction and neuron death, by interfering with key pathogenic drivers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we are a leader in the industry in developing a treatment for DLB, a disease with no approved therapies in the US or European Union despite being the second most common progressive dementia. Neflamapimod is the only clinical drug candidate that, to our knowledge, has shown statistically significant improvements on clinical endpoints and a biomarker of neurodegeneration in both a Phase 2a and Phase 2b clinical trial. Differentiating our approach from potential competitors, we believe we are also the only company specifically targeting the treatment of DLB patients without Alzheimer’s Disease (“AD”) co-pathology. While DLB patients with AD co-pathology generally have significant, irreversible neuronal loss, DLB without AD co-pathology is primarily a disease of functional deficits of synapses that we believe is more treatable. We believe if neflamapimod is given in the early stages of certain degenerative diseases of the brain like DLB without AD co-pathology, it may reverse synaptic dysfunction, improve neuron health and function, and slow further progression by delaying synaptic dysfunction and neuronal death. We believe this approach enhances the alignment of our development path with neflamapimod’s mechanism of action, reduces the heterogeneity of our target patient population, and provides the opportunity to demonstrate heightened clinical effect in shorter duration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Recent Developments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Registered Direct Offering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18, 2026, we entered into securities purchase agreement with certain investors, pursuant to which we agreed to issue and sell, in a registered direct offering by directly to the investors (the “Registered Offering”), 2,500,000 shares of common stock at a purchase price of $4.00 per share, for aggregate gross proceeds of $10.0 million, before deducting placement agent fees and related offering expenses. The Registered Offering closed on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H.C. Wainwright &amp; Co., LLC (“Wainwright”) acted as the exclusive placement agent for the Registered Offering pursuant to an engagement letter between the Company and Wainwright dated June 16, 2026 (the “HCW Engagement Letter”). Pursuant to the HCW Engagement Letter, we also issued to Wainwright or its designees warrants to purchase 150,000 shares of common stock (the “Placement Agent Warrants”). The Placement Agent Warrants have an exercise price of $5.00 per share (or $4.999 per pre-funded warrant if elected), are immediately exercisable and expire 5 years following the commencement of sales of the Registered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Notice of Allowance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2026, we received a notice of allowance from the United States Patent and Trademark Office related to a new patent protecting the Company’s use of neflamapimod for the treatment of DLB in patients with no substantial AD-like tau pathology, which is expected to provide intellectual property protection into 2042 (without giving effect to any potential patent term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Private Placement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9, 2026, we entered into a securities purchase agreement (the “Purchase Agreement”) with certain accredited investors named therein, pursuant to which we agreed to issue and sell, in the Private Placement, an aggregate of 3,360,377 units (the “Units”), each Unit comprised of (i) (A) one share of common stock, or (B) one Pre-Funded Warrant, and, in each case, (ii) one Series B Warrant, and (iii) one Series C Warrant, at an offering price of $3.14 per Unit. The Private Placement closed on June 11, 2026, and we received approximately $10.5 million in aggregate gross proceeds therefrom, before deducting placement agent fees and expenses and related offering expenses. Joshua Boger, Ph.D., our Chair of the Board of Directors, and trusts related to John Alam, M.D., our Chief Executive Officer and a Director of the Company, and Sylvie Grégoire, PharmD, a Director of the Company, participated in the Private Placement for an aggregate of 1,369,426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Pre-Funded Warrants are exercisable for one share of common stock at a price per share of $0.001, are immediately exercisable and expire when exercised in full. The Series B Warrants are exercisable for one share of common stock at a price per share of $3.32 (or, if elected, $3.319 per pre-funded warrant), are exercisable immediately and expire five years from the date of issuance. The Series C Warrants are exercisable for one share of common stock at a price per share of $3.14 (or, if elected, $3.139 per pre-funded warrant), are exercisable immediately and expire 12-months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Corporation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Delaware corporation that was incorporated in June 2015 and previously was named “Diffusion Pharmaceuticals Inc.” Prior to June 2015, we were a Nevada corporation. On August 16, 2023, we completed a merger transaction with EIP Pharma, Inc., a Delaware corporation, and changed our name to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our principal executive offices at 20 Park Plaza, Suite 424, Boston, Massachusetts 02216.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telephone number there is (617) 744-4400. The address of our website is www.cervomed.com. The information contained on, connected to or that can be accessed via our website is not part of this prospectus supplement. We have included our website address in this prospectus supplement as an inactive textual reference only and not as an active hyperlink.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Annual Reports on Form 10-K, Quarterly Reports on Form 10-Q, Current Reports on Form 8-K and all amendments to those reports filed or furnished pursuant to Section 13(a) or 15(d) of the Exchange Act are available free of charge through the investor relations page of our website as soon as reasonably practicable after we electronically file such material with, or furnish it to,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OFFERING</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3"/>
        <w:gridCol w:w="60"/>
        <w:gridCol w:w="8782"/>
      </w:tblGrid>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offered by the selling stockholders</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 to an aggregate of 10,081,131 shares of our common stock, consisting of (i) 1,767,514 shares of common stock, (ii) 1,592,863 shares of common stock issuable upon the exercise of outstanding Pre-Funded Warrants, (iii) 3,360,377 shares of common stock issuable upon the exercise of outstanding Series B Warrants, and (iv) 3,360,377 shares of common stock issuable upon the exercise of outstanding Series C Warrants.</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Terms of the offering</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selling stockholders will determine when and how they will sell the Common Stock offered in this prospectus, as described in “Plan of Distribution.”</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not receive any proceeds from the sale of shares of our common stock by the selling stockholders. Each Pre-Funded Warrant has an exercise price equal to $0.001 per share, and if all Pre-Funded Warrants are exercised for cash (and not a cashless a basis), we will receive proceeds of approximately $1,593. Each Series B Warrant has an exercise price equal to $3.32 per share, and if all Series B Warrants are exercised for cash (and not a cashless a basis), we will receive proceeds of approximately $11.2 million. Each Series C Warrant has an exercise price equal to $3.14 per share, and if all Series B Warrants are exercised for cash (and not a cashless a basis), we will receive proceeds of approximately $10.6 million. Any proceeds we receive from the exercise of the Warrants will be used for working capital and general corporate purposes.</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investment in our securities involves a high degree of risk. See the section entitled “Risk Factors” of this prospectus and the similarly titled sections in the documents incorporated by reference into this prospectus.</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r>
        <w:trPr/>
        <w:tc>
          <w:tcPr>
            <w:tcW w:w="13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Capital Market Symbol</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CRVO</w:t>
            </w:r>
          </w:p>
        </w:tc>
      </w:tr>
      <w:tr>
        <w:trPr/>
        <w:tc>
          <w:tcPr>
            <w:tcW w:w="136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82"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Shares of common stock that may be offered under this prospectus will be fully paid and non-assessable. We will not receive any of the proceeds of sales by the selling stockholders of any of the common stock covered by this prospectus. Throughout this prospectus, when we refer to the shares of our common stock being registered on behalf of the selling stockholders for offer and resale, we are referring to the shares of common stock issued to the selling stockholders in the Private Placement as well as in connection with the exercise of Warrants issued in the Private Placement. When we refer to the selling stockholders in this prospectus, we are referring to the selling stockholders identified in this prospectus and, as applicable, their donees, pledgees, assigns, transferees, distributees or other successors-in-interest that may be identified in a supplement to this prospectus or, if required, a post-effective amendment to the registration statement of which this prospectus is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RISK FACTORS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sale of a substantial amount of our common stock, including resale of the common stock issuable upon the exercise of the Warrants held by the selling stockholders, in the public market, could adversely affect the prevailing market price of our common stock.</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registering for resale 10,081,131 shares of common stock held by the selling stockholders, including shares issuable upon the exercise of Warrants held by the selling stockholders. Sales of substantial amounts of our common stock in the public market, or the perception that such sales may occur, could adversely affect the market price of our common stock. We cannot predict if and when selling stockholders may sell such shares in the public markets. Furthermore, in the future, we may issue additional shares of common stock. Any such issuance could result in substantial dilution to our existing stockholders and could cause our stock price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SPECIAL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and the documents incorporated by reference in this prospectus supplement include forward-looking statements within the meaning of Section 27A of the Securities Act of 1933, as amended, or the Securities Act, and Section 21E of the Securities Exchange Act of 1934, as amended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Forward-looking statements also include statements regarding our intentions, beliefs, projections, outlook, analyses or expectations concerning,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cash balances, our ability to obtain additional financing in the future on acceptable terms or at all, and our ability to continue as a going concern;</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enter into a partnership to advance neflamapimod into Phase 3 for DLB in a timely manner, on acceptable terms, or at all;</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and timing of our ongoing and planned clinical trials and nonclinical studies, including our ability to enroll participants in our studies at anticipated rates, our ability to manufacture an adequate amount of drug supply for our studies, and changes to our drug candidates' formulations;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obtaining and maintaining intellectual property protection for our current or future product candidates and our proprietary technology;</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performance of third parties, including contract research organizations, contract development and manufacturing organizations, manufacturers, suppliers, and outside consultants, to whom we outsource certain operations, staff and other functions;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and maintain regulatory approval of our current or future product candidates and, if approved, our products, including the labeling under any approval we may obtain;</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plans and ability to develop and commercialize our current or future product candidates and the outcomes of our research and development activities;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estimates regarding expenses, future revenues, capital requirements, and needs for additional financing;</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obligations under the license agreement with Vertex Pharmaceuticals Incorporated;</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failure to recruit or retain key scientific or management personnel or to retain our executive officers;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accuracy of our estimates of the size and characteristics of the potential markets for our current or future product candidates, the rate and degree of market acceptance of any of our current or future product candidates that may be approved in the future, and our ability to serve those markets;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products that are, or may become, available which also target the potential markets for our current or future product candidates;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operate our business without infringing the intellectual property rights of others and the potential for others to infringe upon our intellectual property rights;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significant breakdown, infiltration, or interruption of our information technology systems and infrastructure;</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recently enacted and future legislation related to the healthcare system;</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regulatory developments in the US, European Union, and other foreign jurisdictions;</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satisfy the continued listing requirements of the Nasdaq or any other exchange on which our securities may trade in the future;</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uncertainties related to general economic, political, business, industry, and market conditions; and</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risks and uncertainties, including those discussed under the heading “Risk Factors” herein and in our other public filings.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USE OF PROCEEDS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not receive any of the proceeds from the sale or other disposition of shares of our common stock beneficially owned by the selling stockholders pursuant to this prospectus. Upon any exercise of the Warrants for cash, the applicable selling stockholder would pay us the exercise price set forth in the applicable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Pre-Funded Warrant has an exercise price equal to $0.001 per share, and if all Pre-Funded Warrants are exercised for cash (and not a cashless a basis), we will receive proceeds of approximately $1,593. Each Series B Warrant has an exercise price equal to $3.32 per share, and if all Series B Warrants are exercised for cash (and not a cashless a basis), we will receive proceeds of approximately $11.2 million. Each Series C Warrant has an exercise price equal to $3.14 per share, and if all Series B Warrants are exercised for cash (and not a cashless a basis), we will receive proceeds of approximately $10.6 million. We expect to use any such proceeds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SELLING STOCKHOLDERS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covers the possible resale from time to time by the selling stockholders identified in the table below of common stock, including common stock issuable upon the exercise of the Pre-Funded Warrants, Series B Warrants and Series C Warrants, issued in the Private Placement. The selling stockholders may sell some, all or none of their common stock. We do not know how long the selling stockholders will hold the Warrants, whether any will exercise the Warrants, and upon such exercise, how long such selling stockholders will hold the common stock before selling them, and we currently have no agreements, arrangements or understandings with the selling stockholders regarding the sale of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lists the selling stockholders and other information regarding the beneficial ownership of the common stock by each of the selling stockholders. The second column lists the number of shares of common stock beneficially owned by each selling stockholder, based on its ownership of common stock and warrants to purchase common stock, as of June 22, 2026, assuming exercise of the Warrants held by the selling stockholders on that date, without regard to any limitations on conversions or exercises. The third column lists the maximum number of shares of common stock being offered in this prospectus by the selling stockholders. The fourth and fifth columns list the number of shares of common stock owned after the offering, by number of shares of common stock and percentage of outstanding shares of common stock, assuming in both cases the sale of all of the shares of common stock offered by the selling stockholders pursuant to this prospectus, and without regard to any limitations on conversions or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9.99% or 19.99%, as applicable, of our then outstanding shares of Common Stock following such exercise, excluding for purposes of such determination shares of common stock issuable upon exercise of such warrants which have not been exercised. The beneficial ownership limitation may be increased or decreased, provided that in no event shall it exceed 9.99% or 19.99%, as applicable, upon notice to us, provided that any increase in the beneficial ownership limitation shall not be effective until 61 days following the receipt of such notice by us. The number of shares in the table below does not reflect this limitation. See “</w:t>
      </w:r>
      <w:r>
        <w:rPr>
          <w:rFonts w:ascii="Times New Roman" w:hAnsi="Times New Roman"/>
          <w:i/>
          <w:caps w:val="false"/>
          <w:smallCaps w:val="false"/>
          <w:sz w:val="20"/>
        </w:rPr>
        <w:t>Plan of Distribution</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20"/>
        <w:gridCol w:w="23"/>
        <w:gridCol w:w="67"/>
        <w:gridCol w:w="2487"/>
        <w:gridCol w:w="23"/>
        <w:gridCol w:w="23"/>
        <w:gridCol w:w="40"/>
        <w:gridCol w:w="1489"/>
        <w:gridCol w:w="23"/>
        <w:gridCol w:w="23"/>
        <w:gridCol w:w="49"/>
        <w:gridCol w:w="1841"/>
        <w:gridCol w:w="60"/>
        <w:gridCol w:w="60"/>
        <w:gridCol w:w="394"/>
        <w:gridCol w:w="1819"/>
        <w:gridCol w:w="64"/>
      </w:tblGrid>
      <w:tr>
        <w:trPr/>
        <w:tc>
          <w:tcPr>
            <w:tcW w:w="1720" w:type="dxa"/>
            <w:tcBorders>
              <w:bottom w:val="single" w:sz="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Selling Stockholder</w:t>
            </w:r>
            <w:bookmarkStart w:id="0" w:name=".lead.D2"/>
            <w:bookmarkEnd w:id="0"/>
          </w:p>
        </w:tc>
        <w:tc>
          <w:tcPr>
            <w:tcW w:w="23" w:type="dxa"/>
            <w:tcBorders/>
            <w:tcMar>
              <w:bottom w:w="0" w:type="dxa"/>
            </w:tcMar>
            <w:vAlign w:val="center"/>
          </w:tcPr>
          <w:p>
            <w:pPr>
              <w:pStyle w:val="TableContents"/>
              <w:bidi w:val="0"/>
              <w:spacing w:before="0" w:after="0"/>
              <w:ind w:left="0" w:right="0" w:hanging="0"/>
              <w:jc w:val="left"/>
              <w:rPr/>
            </w:pPr>
            <w:r>
              <w:rPr/>
              <w:t>​</w:t>
            </w:r>
            <w:bookmarkStart w:id="1" w:name=".amt.D2"/>
            <w:bookmarkEnd w:id="1"/>
          </w:p>
        </w:tc>
        <w:tc>
          <w:tcPr>
            <w:tcW w:w="255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Number of Shares of Common Stock Owned Prior to Offering**</w:t>
            </w:r>
            <w:bookmarkStart w:id="2" w:name=".trail.D2"/>
            <w:bookmarkEnd w:id="2"/>
          </w:p>
        </w:tc>
        <w:tc>
          <w:tcPr>
            <w:tcW w:w="23" w:type="dxa"/>
            <w:tcBorders/>
            <w:tcMar>
              <w:bottom w:w="0" w:type="dxa"/>
            </w:tcMar>
            <w:vAlign w:val="center"/>
          </w:tcPr>
          <w:p>
            <w:pPr>
              <w:pStyle w:val="TableContents"/>
              <w:bidi w:val="0"/>
              <w:spacing w:before="0" w:after="0"/>
              <w:ind w:left="0" w:right="0" w:hanging="0"/>
              <w:jc w:val="left"/>
              <w:rPr/>
            </w:pPr>
            <w:r>
              <w:rPr/>
              <w:t>​</w:t>
            </w:r>
            <w:bookmarkStart w:id="3" w:name=".lead.D3"/>
            <w:bookmarkEnd w:id="3"/>
          </w:p>
        </w:tc>
        <w:tc>
          <w:tcPr>
            <w:tcW w:w="23" w:type="dxa"/>
            <w:tcBorders/>
            <w:tcMar>
              <w:bottom w:w="0" w:type="dxa"/>
            </w:tcMar>
            <w:vAlign w:val="center"/>
          </w:tcPr>
          <w:p>
            <w:pPr>
              <w:pStyle w:val="TableContents"/>
              <w:bidi w:val="0"/>
              <w:spacing w:before="0" w:after="0"/>
              <w:ind w:left="0" w:right="0" w:hanging="0"/>
              <w:jc w:val="left"/>
              <w:rPr/>
            </w:pPr>
            <w:r>
              <w:rPr/>
              <w:t>​</w:t>
            </w:r>
            <w:bookmarkStart w:id="4" w:name=".amt.D3"/>
            <w:bookmarkEnd w:id="4"/>
          </w:p>
        </w:tc>
        <w:tc>
          <w:tcPr>
            <w:tcW w:w="152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Maximum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bidi w:val="0"/>
              <w:spacing w:before="0" w:after="0"/>
              <w:ind w:left="0" w:right="0" w:hanging="0"/>
              <w:jc w:val="center"/>
              <w:rPr/>
            </w:pPr>
            <w:r>
              <w:rPr/>
              <w:t> </w:t>
            </w:r>
            <w:r>
              <w:rPr>
                <w:rFonts w:ascii="Times New Roman" w:hAnsi="Times New Roman"/>
                <w:b/>
                <w:sz w:val="20"/>
              </w:rPr>
              <w:t>Shares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Common Stock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to be Sold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Pursuant to this Prospectus**</w:t>
            </w:r>
            <w:bookmarkStart w:id="5" w:name=".trail.D3"/>
            <w:bookmarkEnd w:id="5"/>
          </w:p>
        </w:tc>
        <w:tc>
          <w:tcPr>
            <w:tcW w:w="23" w:type="dxa"/>
            <w:tcBorders/>
            <w:tcMar>
              <w:bottom w:w="0" w:type="dxa"/>
            </w:tcMar>
            <w:vAlign w:val="center"/>
          </w:tcPr>
          <w:p>
            <w:pPr>
              <w:pStyle w:val="TableContents"/>
              <w:bidi w:val="0"/>
              <w:spacing w:before="0" w:after="0"/>
              <w:ind w:left="0" w:right="0" w:hanging="0"/>
              <w:jc w:val="left"/>
              <w:rPr/>
            </w:pPr>
            <w:r>
              <w:rPr/>
              <w:t>​</w:t>
            </w:r>
            <w:bookmarkStart w:id="6" w:name=".lead.D4"/>
            <w:bookmarkEnd w:id="6"/>
          </w:p>
        </w:tc>
        <w:tc>
          <w:tcPr>
            <w:tcW w:w="23" w:type="dxa"/>
            <w:tcBorders/>
            <w:tcMar>
              <w:bottom w:w="0" w:type="dxa"/>
            </w:tcMar>
            <w:vAlign w:val="center"/>
          </w:tcPr>
          <w:p>
            <w:pPr>
              <w:pStyle w:val="TableContents"/>
              <w:bidi w:val="0"/>
              <w:spacing w:before="0" w:after="0"/>
              <w:ind w:left="0" w:right="0" w:hanging="0"/>
              <w:jc w:val="left"/>
              <w:rPr/>
            </w:pPr>
            <w:r>
              <w:rPr/>
              <w:t>​</w:t>
            </w:r>
            <w:bookmarkStart w:id="7" w:name=".amt.D4"/>
            <w:bookmarkEnd w:id="7"/>
          </w:p>
        </w:tc>
        <w:tc>
          <w:tcPr>
            <w:tcW w:w="189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Number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Shares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Common Stock Owned After Offering**(1)</w:t>
            </w:r>
            <w:bookmarkStart w:id="8" w:name=".trail.D4"/>
            <w:bookmarkEnd w:id="8"/>
          </w:p>
        </w:tc>
        <w:tc>
          <w:tcPr>
            <w:tcW w:w="60" w:type="dxa"/>
            <w:tcBorders/>
            <w:tcMar>
              <w:bottom w:w="0" w:type="dxa"/>
            </w:tcMar>
            <w:vAlign w:val="center"/>
          </w:tcPr>
          <w:p>
            <w:pPr>
              <w:pStyle w:val="TableContents"/>
              <w:bidi w:val="0"/>
              <w:spacing w:before="0" w:after="0"/>
              <w:ind w:left="0" w:right="0" w:hanging="0"/>
              <w:jc w:val="left"/>
              <w:rPr/>
            </w:pPr>
            <w:r>
              <w:rPr/>
              <w:t>​</w:t>
            </w:r>
            <w:bookmarkStart w:id="9" w:name=".lead.D41"/>
            <w:bookmarkStart w:id="10" w:name=".lead.D42"/>
            <w:bookmarkEnd w:id="9"/>
            <w:bookmarkEnd w:id="10"/>
          </w:p>
        </w:tc>
        <w:tc>
          <w:tcPr>
            <w:tcW w:w="60" w:type="dxa"/>
            <w:tcBorders/>
            <w:tcMar>
              <w:bottom w:w="0" w:type="dxa"/>
            </w:tcMar>
            <w:vAlign w:val="center"/>
          </w:tcPr>
          <w:p>
            <w:pPr>
              <w:pStyle w:val="TableContents"/>
              <w:bidi w:val="0"/>
              <w:spacing w:before="0" w:after="0"/>
              <w:ind w:left="0" w:right="0" w:hanging="0"/>
              <w:jc w:val="left"/>
              <w:rPr/>
            </w:pPr>
            <w:r>
              <w:rPr/>
              <w:t>​</w:t>
            </w:r>
            <w:bookmarkStart w:id="11" w:name=".amt.D41"/>
            <w:bookmarkStart w:id="12" w:name=".amt.D42"/>
            <w:bookmarkEnd w:id="11"/>
            <w:bookmarkEnd w:id="12"/>
          </w:p>
        </w:tc>
        <w:tc>
          <w:tcPr>
            <w:tcW w:w="2213"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Percentage of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Shares of Common Stock Owned After Offering***</w:t>
            </w:r>
            <w:bookmarkStart w:id="13" w:name=".trail.D41"/>
            <w:bookmarkStart w:id="14" w:name=".trail.D42"/>
            <w:bookmarkEnd w:id="13"/>
            <w:bookmarkEnd w:id="14"/>
          </w:p>
        </w:tc>
        <w:tc>
          <w:tcPr>
            <w:tcW w:w="64" w:type="dxa"/>
            <w:tcBorders/>
            <w:tcMar>
              <w:bottom w:w="0" w:type="dxa"/>
            </w:tcMar>
            <w:vAlign w:val="center"/>
          </w:tcPr>
          <w:p>
            <w:pPr>
              <w:pStyle w:val="TableContents"/>
              <w:bidi w:val="0"/>
              <w:spacing w:before="0" w:after="0"/>
              <w:ind w:left="0" w:right="0" w:hanging="0"/>
              <w:jc w:val="left"/>
              <w:rPr/>
            </w:pPr>
            <w:r>
              <w:rPr/>
              <w:t>​</w:t>
            </w:r>
          </w:p>
        </w:tc>
      </w:tr>
      <w:tr>
        <w:trPr/>
        <w:tc>
          <w:tcPr>
            <w:tcW w:w="1720"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3i, LP (2)</w:t>
            </w:r>
            <w:bookmarkStart w:id="15" w:name=".lead.2"/>
            <w:bookmarkEnd w:id="1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6" w:name=".symb.2"/>
            <w:bookmarkEnd w:id="16"/>
          </w:p>
        </w:tc>
        <w:tc>
          <w:tcPr>
            <w:tcW w:w="67" w:type="dxa"/>
            <w:tcBorders/>
            <w:shd w:fill="CCEEFF" w:val="clear"/>
            <w:tcMar>
              <w:bottom w:w="0" w:type="dxa"/>
            </w:tcMar>
            <w:vAlign w:val="center"/>
          </w:tcPr>
          <w:p>
            <w:pPr>
              <w:pStyle w:val="TableContents"/>
              <w:bidi w:val="0"/>
              <w:spacing w:before="0" w:after="0"/>
              <w:ind w:left="0" w:right="0" w:hanging="0"/>
              <w:jc w:val="left"/>
              <w:rPr/>
            </w:pPr>
            <w:r>
              <w:rPr/>
              <w:t>​</w:t>
            </w:r>
            <w:bookmarkStart w:id="17" w:name=".amt.2"/>
            <w:bookmarkEnd w:id="17"/>
          </w:p>
        </w:tc>
        <w:tc>
          <w:tcPr>
            <w:tcW w:w="2487"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602,705</w:t>
            </w:r>
            <w:bookmarkStart w:id="18" w:name=".trail.2"/>
            <w:bookmarkEnd w:id="18"/>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9" w:name=".lead.3"/>
            <w:bookmarkEnd w:id="1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0" w:name=".symb.3"/>
            <w:bookmarkEnd w:id="20"/>
          </w:p>
        </w:tc>
        <w:tc>
          <w:tcPr>
            <w:tcW w:w="40" w:type="dxa"/>
            <w:tcBorders/>
            <w:shd w:fill="CCEEFF" w:val="clear"/>
            <w:tcMar>
              <w:bottom w:w="0" w:type="dxa"/>
            </w:tcMar>
            <w:vAlign w:val="center"/>
          </w:tcPr>
          <w:p>
            <w:pPr>
              <w:pStyle w:val="TableContents"/>
              <w:bidi w:val="0"/>
              <w:spacing w:before="0" w:after="0"/>
              <w:ind w:left="0" w:right="0" w:hanging="0"/>
              <w:jc w:val="left"/>
              <w:rPr/>
            </w:pPr>
            <w:r>
              <w:rPr/>
              <w:t>​</w:t>
            </w:r>
            <w:bookmarkStart w:id="21" w:name=".amt.3"/>
            <w:bookmarkEnd w:id="21"/>
          </w:p>
        </w:tc>
        <w:tc>
          <w:tcPr>
            <w:tcW w:w="148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477,705</w:t>
            </w:r>
            <w:bookmarkStart w:id="22" w:name=".trail.3"/>
            <w:bookmarkEnd w:id="22"/>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3" w:name=".lead.4"/>
            <w:bookmarkEnd w:id="2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24" w:name=".symb.4"/>
            <w:bookmarkEnd w:id="24"/>
          </w:p>
        </w:tc>
        <w:tc>
          <w:tcPr>
            <w:tcW w:w="49" w:type="dxa"/>
            <w:tcBorders/>
            <w:shd w:fill="CCEEFF" w:val="clear"/>
            <w:tcMar>
              <w:bottom w:w="0" w:type="dxa"/>
            </w:tcMar>
            <w:vAlign w:val="center"/>
          </w:tcPr>
          <w:p>
            <w:pPr>
              <w:pStyle w:val="TableContents"/>
              <w:bidi w:val="0"/>
              <w:spacing w:before="0" w:after="0"/>
              <w:ind w:left="0" w:right="0" w:hanging="0"/>
              <w:jc w:val="left"/>
              <w:rPr/>
            </w:pPr>
            <w:r>
              <w:rPr/>
              <w:t>​</w:t>
            </w:r>
            <w:bookmarkStart w:id="25" w:name=".amt.4"/>
            <w:bookmarkEnd w:id="25"/>
          </w:p>
        </w:tc>
        <w:tc>
          <w:tcPr>
            <w:tcW w:w="184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125,000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94" w:type="dxa"/>
            <w:tcBorders/>
            <w:shd w:fill="CCEEFF" w:val="clear"/>
            <w:tcMar>
              <w:bottom w:w="0" w:type="dxa"/>
            </w:tcMar>
            <w:vAlign w:val="center"/>
          </w:tcPr>
          <w:p>
            <w:pPr>
              <w:pStyle w:val="TableContents"/>
              <w:bidi w:val="0"/>
              <w:spacing w:before="0" w:after="0"/>
              <w:ind w:left="0" w:right="0" w:hanging="0"/>
              <w:jc w:val="left"/>
              <w:rPr/>
            </w:pPr>
            <w:r>
              <w:rPr/>
              <w:t> </w:t>
            </w:r>
          </w:p>
        </w:tc>
        <w:tc>
          <w:tcPr>
            <w:tcW w:w="18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64"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Armistice Capital, LLC (3)</w:t>
            </w:r>
            <w:bookmarkStart w:id="26" w:name=".lead.21"/>
            <w:bookmarkStart w:id="27" w:name=".lead.22"/>
            <w:bookmarkEnd w:id="26"/>
            <w:bookmarkEnd w:id="2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28" w:name=".symb.21"/>
            <w:bookmarkStart w:id="29" w:name=".symb.22"/>
            <w:bookmarkEnd w:id="28"/>
            <w:bookmarkEnd w:id="29"/>
          </w:p>
        </w:tc>
        <w:tc>
          <w:tcPr>
            <w:tcW w:w="67" w:type="dxa"/>
            <w:tcBorders/>
            <w:shd w:fill="FFFFFF" w:val="clear"/>
            <w:tcMar>
              <w:bottom w:w="0" w:type="dxa"/>
            </w:tcMar>
            <w:vAlign w:val="center"/>
          </w:tcPr>
          <w:p>
            <w:pPr>
              <w:pStyle w:val="TableContents"/>
              <w:bidi w:val="0"/>
              <w:spacing w:before="0" w:after="0"/>
              <w:ind w:left="0" w:right="0" w:hanging="0"/>
              <w:jc w:val="left"/>
              <w:rPr/>
            </w:pPr>
            <w:r>
              <w:rPr/>
              <w:t>​</w:t>
            </w:r>
            <w:bookmarkStart w:id="30" w:name=".amt.21"/>
            <w:bookmarkStart w:id="31" w:name=".amt.22"/>
            <w:bookmarkEnd w:id="30"/>
            <w:bookmarkEnd w:id="31"/>
          </w:p>
        </w:tc>
        <w:tc>
          <w:tcPr>
            <w:tcW w:w="2487"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5,512,952</w:t>
            </w:r>
            <w:bookmarkStart w:id="32" w:name=".trail.21"/>
            <w:bookmarkStart w:id="33" w:name=".trail.22"/>
            <w:bookmarkEnd w:id="32"/>
            <w:bookmarkEnd w:id="3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34" w:name=".lead.31"/>
            <w:bookmarkStart w:id="35" w:name=".lead.32"/>
            <w:bookmarkEnd w:id="34"/>
            <w:bookmarkEnd w:id="3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36" w:name=".symb.31"/>
            <w:bookmarkStart w:id="37" w:name=".symb.32"/>
            <w:bookmarkEnd w:id="36"/>
            <w:bookmarkEnd w:id="37"/>
          </w:p>
        </w:tc>
        <w:tc>
          <w:tcPr>
            <w:tcW w:w="40" w:type="dxa"/>
            <w:tcBorders/>
            <w:shd w:fill="FFFFFF" w:val="clear"/>
            <w:tcMar>
              <w:bottom w:w="0" w:type="dxa"/>
            </w:tcMar>
            <w:vAlign w:val="center"/>
          </w:tcPr>
          <w:p>
            <w:pPr>
              <w:pStyle w:val="TableContents"/>
              <w:bidi w:val="0"/>
              <w:spacing w:before="0" w:after="0"/>
              <w:ind w:left="0" w:right="0" w:hanging="0"/>
              <w:jc w:val="left"/>
              <w:rPr/>
            </w:pPr>
            <w:r>
              <w:rPr/>
              <w:t>​</w:t>
            </w:r>
            <w:bookmarkStart w:id="38" w:name=".amt.31"/>
            <w:bookmarkStart w:id="39" w:name=".amt.32"/>
            <w:bookmarkEnd w:id="38"/>
            <w:bookmarkEnd w:id="39"/>
          </w:p>
        </w:tc>
        <w:tc>
          <w:tcPr>
            <w:tcW w:w="148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4,778,589</w:t>
            </w:r>
            <w:bookmarkStart w:id="40" w:name=".trail.31"/>
            <w:bookmarkStart w:id="41" w:name=".trail.32"/>
            <w:bookmarkEnd w:id="40"/>
            <w:bookmarkEnd w:id="4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2" w:name=".lead.41"/>
            <w:bookmarkStart w:id="43" w:name=".lead.42"/>
            <w:bookmarkEnd w:id="42"/>
            <w:bookmarkEnd w:id="4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44" w:name=".symb.41"/>
            <w:bookmarkStart w:id="45" w:name=".symb.42"/>
            <w:bookmarkEnd w:id="44"/>
            <w:bookmarkEnd w:id="45"/>
          </w:p>
        </w:tc>
        <w:tc>
          <w:tcPr>
            <w:tcW w:w="49" w:type="dxa"/>
            <w:tcBorders/>
            <w:shd w:fill="FFFFFF" w:val="clear"/>
            <w:tcMar>
              <w:bottom w:w="0" w:type="dxa"/>
            </w:tcMar>
            <w:vAlign w:val="center"/>
          </w:tcPr>
          <w:p>
            <w:pPr>
              <w:pStyle w:val="TableContents"/>
              <w:bidi w:val="0"/>
              <w:spacing w:before="0" w:after="0"/>
              <w:ind w:left="0" w:right="0" w:hanging="0"/>
              <w:jc w:val="left"/>
              <w:rPr/>
            </w:pPr>
            <w:r>
              <w:rPr/>
              <w:t>​</w:t>
            </w:r>
            <w:bookmarkStart w:id="46" w:name=".amt.41"/>
            <w:bookmarkStart w:id="47" w:name=".amt.42"/>
            <w:bookmarkEnd w:id="46"/>
            <w:bookmarkEnd w:id="47"/>
          </w:p>
        </w:tc>
        <w:tc>
          <w:tcPr>
            <w:tcW w:w="184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734,363</w:t>
            </w:r>
            <w:bookmarkStart w:id="48" w:name=".trail.4"/>
            <w:bookmarkEnd w:id="48"/>
          </w:p>
        </w:tc>
        <w:tc>
          <w:tcPr>
            <w:tcW w:w="60" w:type="dxa"/>
            <w:tcBorders/>
            <w:shd w:fill="FFFFFF" w:val="clear"/>
            <w:tcMar>
              <w:bottom w:w="0" w:type="dxa"/>
            </w:tcMar>
            <w:vAlign w:val="center"/>
          </w:tcPr>
          <w:p>
            <w:pPr>
              <w:pStyle w:val="TableContents"/>
              <w:bidi w:val="0"/>
              <w:spacing w:before="0" w:after="0"/>
              <w:ind w:left="0" w:right="0" w:hanging="0"/>
              <w:jc w:val="left"/>
              <w:rPr/>
            </w:pPr>
            <w:r>
              <w:rPr/>
              <w:t>​</w:t>
            </w:r>
            <w:bookmarkStart w:id="49" w:name=".lead.43"/>
            <w:bookmarkStart w:id="50" w:name=".lead.44"/>
            <w:bookmarkEnd w:id="49"/>
            <w:bookmarkEnd w:id="50"/>
          </w:p>
        </w:tc>
        <w:tc>
          <w:tcPr>
            <w:tcW w:w="60" w:type="dxa"/>
            <w:tcBorders/>
            <w:shd w:fill="FFFFFF" w:val="clear"/>
            <w:tcMar>
              <w:bottom w:w="0" w:type="dxa"/>
            </w:tcMar>
            <w:vAlign w:val="center"/>
          </w:tcPr>
          <w:p>
            <w:pPr>
              <w:pStyle w:val="TableContents"/>
              <w:bidi w:val="0"/>
              <w:spacing w:before="0" w:after="0"/>
              <w:ind w:left="0" w:right="0" w:hanging="0"/>
              <w:jc w:val="left"/>
              <w:rPr/>
            </w:pPr>
            <w:r>
              <w:rPr/>
              <w:t>​</w:t>
            </w:r>
            <w:bookmarkStart w:id="51" w:name=".symb.43"/>
            <w:bookmarkStart w:id="52" w:name=".symb.44"/>
            <w:bookmarkEnd w:id="51"/>
            <w:bookmarkEnd w:id="52"/>
          </w:p>
        </w:tc>
        <w:tc>
          <w:tcPr>
            <w:tcW w:w="394" w:type="dxa"/>
            <w:tcBorders/>
            <w:shd w:fill="FFFFFF" w:val="clear"/>
            <w:tcMar>
              <w:bottom w:w="0" w:type="dxa"/>
            </w:tcMar>
            <w:vAlign w:val="center"/>
          </w:tcPr>
          <w:p>
            <w:pPr>
              <w:pStyle w:val="TableContents"/>
              <w:bidi w:val="0"/>
              <w:spacing w:before="0" w:after="0"/>
              <w:ind w:left="0" w:right="0" w:hanging="0"/>
              <w:jc w:val="left"/>
              <w:rPr/>
            </w:pPr>
            <w:r>
              <w:rPr/>
              <w:t>​</w:t>
            </w:r>
            <w:bookmarkStart w:id="53" w:name=".amt.43"/>
            <w:bookmarkStart w:id="54" w:name=".amt.44"/>
            <w:bookmarkEnd w:id="53"/>
            <w:bookmarkEnd w:id="54"/>
          </w:p>
        </w:tc>
        <w:tc>
          <w:tcPr>
            <w:tcW w:w="181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w:t>
            </w:r>
          </w:p>
        </w:tc>
        <w:tc>
          <w:tcPr>
            <w:tcW w:w="64"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The Joshua S. Boger 2021 Trust (4)</w:t>
            </w:r>
            <w:bookmarkStart w:id="55" w:name=".lead.23"/>
            <w:bookmarkStart w:id="56" w:name=".lead.24"/>
            <w:bookmarkEnd w:id="55"/>
            <w:bookmarkEnd w:id="56"/>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57" w:name=".symb.23"/>
            <w:bookmarkStart w:id="58" w:name=".symb.24"/>
            <w:bookmarkEnd w:id="57"/>
            <w:bookmarkEnd w:id="58"/>
          </w:p>
        </w:tc>
        <w:tc>
          <w:tcPr>
            <w:tcW w:w="67" w:type="dxa"/>
            <w:tcBorders/>
            <w:shd w:fill="CCEEFF" w:val="clear"/>
            <w:tcMar>
              <w:bottom w:w="0" w:type="dxa"/>
            </w:tcMar>
            <w:vAlign w:val="center"/>
          </w:tcPr>
          <w:p>
            <w:pPr>
              <w:pStyle w:val="TableContents"/>
              <w:bidi w:val="0"/>
              <w:spacing w:before="0" w:after="0"/>
              <w:ind w:left="0" w:right="0" w:hanging="0"/>
              <w:jc w:val="left"/>
              <w:rPr/>
            </w:pPr>
            <w:r>
              <w:rPr/>
              <w:t>​</w:t>
            </w:r>
            <w:bookmarkStart w:id="59" w:name=".amt.23"/>
            <w:bookmarkStart w:id="60" w:name=".amt.24"/>
            <w:bookmarkEnd w:id="59"/>
            <w:bookmarkEnd w:id="60"/>
          </w:p>
        </w:tc>
        <w:tc>
          <w:tcPr>
            <w:tcW w:w="2487"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3,923,510</w:t>
            </w:r>
            <w:bookmarkStart w:id="61" w:name=".trail.23"/>
            <w:bookmarkStart w:id="62" w:name=".trail.24"/>
            <w:bookmarkEnd w:id="61"/>
            <w:bookmarkEnd w:id="62"/>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3" w:name=".lead.33"/>
            <w:bookmarkStart w:id="64" w:name=".lead.34"/>
            <w:bookmarkEnd w:id="63"/>
            <w:bookmarkEnd w:id="64"/>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65" w:name=".symb.33"/>
            <w:bookmarkStart w:id="66" w:name=".symb.34"/>
            <w:bookmarkEnd w:id="65"/>
            <w:bookmarkEnd w:id="66"/>
          </w:p>
        </w:tc>
        <w:tc>
          <w:tcPr>
            <w:tcW w:w="40" w:type="dxa"/>
            <w:tcBorders/>
            <w:shd w:fill="CCEEFF" w:val="clear"/>
            <w:tcMar>
              <w:bottom w:w="0" w:type="dxa"/>
            </w:tcMar>
            <w:vAlign w:val="center"/>
          </w:tcPr>
          <w:p>
            <w:pPr>
              <w:pStyle w:val="TableContents"/>
              <w:bidi w:val="0"/>
              <w:spacing w:before="0" w:after="0"/>
              <w:ind w:left="0" w:right="0" w:hanging="0"/>
              <w:jc w:val="left"/>
              <w:rPr/>
            </w:pPr>
            <w:r>
              <w:rPr/>
              <w:t>​</w:t>
            </w:r>
            <w:bookmarkStart w:id="67" w:name=".amt.33"/>
            <w:bookmarkStart w:id="68" w:name=".amt.34"/>
            <w:bookmarkEnd w:id="67"/>
            <w:bookmarkEnd w:id="68"/>
          </w:p>
        </w:tc>
        <w:tc>
          <w:tcPr>
            <w:tcW w:w="148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2,866,242</w:t>
            </w:r>
            <w:bookmarkStart w:id="69" w:name=".trail.33"/>
            <w:bookmarkStart w:id="70" w:name=".trail.34"/>
            <w:bookmarkEnd w:id="69"/>
            <w:bookmarkEnd w:id="70"/>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71" w:name=".lead.45"/>
            <w:bookmarkStart w:id="72" w:name=".lead.46"/>
            <w:bookmarkEnd w:id="71"/>
            <w:bookmarkEnd w:id="72"/>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73" w:name=".symb.45"/>
            <w:bookmarkStart w:id="74" w:name=".symb.46"/>
            <w:bookmarkEnd w:id="73"/>
            <w:bookmarkEnd w:id="74"/>
          </w:p>
        </w:tc>
        <w:tc>
          <w:tcPr>
            <w:tcW w:w="49" w:type="dxa"/>
            <w:tcBorders/>
            <w:shd w:fill="CCEEFF" w:val="clear"/>
            <w:tcMar>
              <w:bottom w:w="0" w:type="dxa"/>
            </w:tcMar>
            <w:vAlign w:val="center"/>
          </w:tcPr>
          <w:p>
            <w:pPr>
              <w:pStyle w:val="TableContents"/>
              <w:bidi w:val="0"/>
              <w:spacing w:before="0" w:after="0"/>
              <w:ind w:left="0" w:right="0" w:hanging="0"/>
              <w:jc w:val="left"/>
              <w:rPr/>
            </w:pPr>
            <w:r>
              <w:rPr/>
              <w:t>​</w:t>
            </w:r>
            <w:bookmarkStart w:id="75" w:name=".amt.45"/>
            <w:bookmarkStart w:id="76" w:name=".amt.46"/>
            <w:bookmarkEnd w:id="75"/>
            <w:bookmarkEnd w:id="76"/>
          </w:p>
        </w:tc>
        <w:tc>
          <w:tcPr>
            <w:tcW w:w="184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1,057,268</w:t>
            </w:r>
            <w:bookmarkStart w:id="77" w:name=".trail.41"/>
            <w:bookmarkStart w:id="78" w:name=".trail.42"/>
            <w:bookmarkEnd w:id="77"/>
            <w:bookmarkEnd w:id="78"/>
          </w:p>
        </w:tc>
        <w:tc>
          <w:tcPr>
            <w:tcW w:w="60" w:type="dxa"/>
            <w:tcBorders/>
            <w:shd w:fill="CCEEFF" w:val="clear"/>
            <w:tcMar>
              <w:bottom w:w="0" w:type="dxa"/>
            </w:tcMar>
            <w:vAlign w:val="center"/>
          </w:tcPr>
          <w:p>
            <w:pPr>
              <w:pStyle w:val="TableContents"/>
              <w:bidi w:val="0"/>
              <w:spacing w:before="0" w:after="0"/>
              <w:ind w:left="0" w:right="0" w:hanging="0"/>
              <w:jc w:val="left"/>
              <w:rPr/>
            </w:pPr>
            <w:r>
              <w:rPr/>
              <w:t>​</w:t>
            </w:r>
            <w:bookmarkStart w:id="79" w:name=".lead.47"/>
            <w:bookmarkStart w:id="80" w:name=".lead.48"/>
            <w:bookmarkEnd w:id="79"/>
            <w:bookmarkEnd w:id="80"/>
          </w:p>
        </w:tc>
        <w:tc>
          <w:tcPr>
            <w:tcW w:w="60" w:type="dxa"/>
            <w:tcBorders/>
            <w:shd w:fill="CCEEFF" w:val="clear"/>
            <w:tcMar>
              <w:bottom w:w="0" w:type="dxa"/>
            </w:tcMar>
            <w:vAlign w:val="center"/>
          </w:tcPr>
          <w:p>
            <w:pPr>
              <w:pStyle w:val="TableContents"/>
              <w:bidi w:val="0"/>
              <w:spacing w:before="0" w:after="0"/>
              <w:ind w:left="0" w:right="0" w:hanging="0"/>
              <w:jc w:val="left"/>
              <w:rPr/>
            </w:pPr>
            <w:r>
              <w:rPr/>
              <w:t>​</w:t>
            </w:r>
            <w:bookmarkStart w:id="81" w:name=".symb.47"/>
            <w:bookmarkStart w:id="82" w:name=".symb.48"/>
            <w:bookmarkEnd w:id="81"/>
            <w:bookmarkEnd w:id="82"/>
          </w:p>
        </w:tc>
        <w:tc>
          <w:tcPr>
            <w:tcW w:w="394" w:type="dxa"/>
            <w:tcBorders/>
            <w:shd w:fill="CCEEFF" w:val="clear"/>
            <w:tcMar>
              <w:bottom w:w="0" w:type="dxa"/>
            </w:tcMar>
            <w:vAlign w:val="center"/>
          </w:tcPr>
          <w:p>
            <w:pPr>
              <w:pStyle w:val="TableContents"/>
              <w:bidi w:val="0"/>
              <w:spacing w:before="0" w:after="0"/>
              <w:ind w:left="0" w:right="0" w:hanging="0"/>
              <w:jc w:val="left"/>
              <w:rPr/>
            </w:pPr>
            <w:r>
              <w:rPr/>
              <w:t>​</w:t>
            </w:r>
            <w:bookmarkStart w:id="83" w:name=".amt.47"/>
            <w:bookmarkStart w:id="84" w:name=".amt.48"/>
            <w:bookmarkEnd w:id="83"/>
            <w:bookmarkEnd w:id="84"/>
          </w:p>
        </w:tc>
        <w:tc>
          <w:tcPr>
            <w:tcW w:w="18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7.5%</w:t>
            </w:r>
          </w:p>
        </w:tc>
        <w:tc>
          <w:tcPr>
            <w:tcW w:w="64"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The JGA Trust (5)</w:t>
            </w:r>
            <w:bookmarkStart w:id="85" w:name=".lead.25"/>
            <w:bookmarkStart w:id="86" w:name=".lead.26"/>
            <w:bookmarkEnd w:id="85"/>
            <w:bookmarkEnd w:id="86"/>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87" w:name=".symb.25"/>
            <w:bookmarkStart w:id="88" w:name=".symb.26"/>
            <w:bookmarkEnd w:id="87"/>
            <w:bookmarkEnd w:id="88"/>
          </w:p>
        </w:tc>
        <w:tc>
          <w:tcPr>
            <w:tcW w:w="67" w:type="dxa"/>
            <w:tcBorders/>
            <w:shd w:fill="FFFFFF" w:val="clear"/>
            <w:tcMar>
              <w:bottom w:w="0" w:type="dxa"/>
            </w:tcMar>
            <w:vAlign w:val="center"/>
          </w:tcPr>
          <w:p>
            <w:pPr>
              <w:pStyle w:val="TableContents"/>
              <w:bidi w:val="0"/>
              <w:spacing w:before="0" w:after="0"/>
              <w:ind w:left="0" w:right="0" w:hanging="0"/>
              <w:jc w:val="left"/>
              <w:rPr/>
            </w:pPr>
            <w:r>
              <w:rPr/>
              <w:t>​</w:t>
            </w:r>
            <w:bookmarkStart w:id="89" w:name=".amt.25"/>
            <w:bookmarkStart w:id="90" w:name=".amt.26"/>
            <w:bookmarkEnd w:id="89"/>
            <w:bookmarkEnd w:id="90"/>
          </w:p>
        </w:tc>
        <w:tc>
          <w:tcPr>
            <w:tcW w:w="2487" w:type="dxa"/>
            <w:tcBorders/>
            <w:shd w:fill="FFFFFF" w:val="clear"/>
            <w:tcMar>
              <w:bottom w:w="0" w:type="dxa"/>
            </w:tcMar>
            <w:vAlign w:val="center"/>
          </w:tcPr>
          <w:p>
            <w:pPr>
              <w:pStyle w:val="TableContents"/>
              <w:bidi w:val="0"/>
              <w:spacing w:before="0" w:after="0"/>
              <w:ind w:left="0" w:right="0" w:hanging="0"/>
              <w:jc w:val="center"/>
              <w:rPr/>
            </w:pPr>
            <w:r>
              <w:rPr/>
              <w:t> </w:t>
            </w:r>
            <w:r>
              <w:rPr>
                <w:rFonts w:ascii="Times New Roman" w:hAnsi="Times New Roman"/>
                <w:sz w:val="20"/>
              </w:rPr>
              <w:t>895,611</w:t>
            </w:r>
            <w:bookmarkStart w:id="91" w:name=".trail.25"/>
            <w:bookmarkStart w:id="92" w:name=".trail.26"/>
            <w:bookmarkEnd w:id="91"/>
            <w:bookmarkEnd w:id="92"/>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93" w:name=".lead.35"/>
            <w:bookmarkStart w:id="94" w:name=".lead.36"/>
            <w:bookmarkEnd w:id="93"/>
            <w:bookmarkEnd w:id="94"/>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95" w:name=".symb.35"/>
            <w:bookmarkStart w:id="96" w:name=".symb.36"/>
            <w:bookmarkEnd w:id="95"/>
            <w:bookmarkEnd w:id="96"/>
          </w:p>
        </w:tc>
        <w:tc>
          <w:tcPr>
            <w:tcW w:w="40" w:type="dxa"/>
            <w:tcBorders/>
            <w:shd w:fill="FFFFFF" w:val="clear"/>
            <w:tcMar>
              <w:bottom w:w="0" w:type="dxa"/>
            </w:tcMar>
            <w:vAlign w:val="center"/>
          </w:tcPr>
          <w:p>
            <w:pPr>
              <w:pStyle w:val="TableContents"/>
              <w:bidi w:val="0"/>
              <w:spacing w:before="0" w:after="0"/>
              <w:ind w:left="0" w:right="0" w:hanging="0"/>
              <w:jc w:val="left"/>
              <w:rPr/>
            </w:pPr>
            <w:r>
              <w:rPr/>
              <w:t>​</w:t>
            </w:r>
            <w:bookmarkStart w:id="97" w:name=".amt.35"/>
            <w:bookmarkStart w:id="98" w:name=".amt.36"/>
            <w:bookmarkEnd w:id="97"/>
            <w:bookmarkEnd w:id="98"/>
          </w:p>
        </w:tc>
        <w:tc>
          <w:tcPr>
            <w:tcW w:w="148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621,018</w:t>
            </w:r>
            <w:bookmarkStart w:id="99" w:name=".trail.35"/>
            <w:bookmarkStart w:id="100" w:name=".trail.36"/>
            <w:bookmarkEnd w:id="99"/>
            <w:bookmarkEnd w:id="100"/>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1" w:name=".lead.49"/>
            <w:bookmarkStart w:id="102" w:name=".lead.410"/>
            <w:bookmarkEnd w:id="101"/>
            <w:bookmarkEnd w:id="102"/>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3" w:name=".symb.49"/>
            <w:bookmarkStart w:id="104" w:name=".symb.410"/>
            <w:bookmarkEnd w:id="103"/>
            <w:bookmarkEnd w:id="104"/>
          </w:p>
        </w:tc>
        <w:tc>
          <w:tcPr>
            <w:tcW w:w="49" w:type="dxa"/>
            <w:tcBorders/>
            <w:shd w:fill="FFFFFF" w:val="clear"/>
            <w:tcMar>
              <w:bottom w:w="0" w:type="dxa"/>
            </w:tcMar>
            <w:vAlign w:val="center"/>
          </w:tcPr>
          <w:p>
            <w:pPr>
              <w:pStyle w:val="TableContents"/>
              <w:bidi w:val="0"/>
              <w:spacing w:before="0" w:after="0"/>
              <w:ind w:left="0" w:right="0" w:hanging="0"/>
              <w:jc w:val="left"/>
              <w:rPr/>
            </w:pPr>
            <w:r>
              <w:rPr/>
              <w:t>​</w:t>
            </w:r>
            <w:bookmarkStart w:id="105" w:name=".amt.49"/>
            <w:bookmarkStart w:id="106" w:name=".amt.410"/>
            <w:bookmarkEnd w:id="105"/>
            <w:bookmarkEnd w:id="106"/>
          </w:p>
        </w:tc>
        <w:tc>
          <w:tcPr>
            <w:tcW w:w="184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274,593</w:t>
            </w:r>
            <w:bookmarkStart w:id="107" w:name=".trail.43"/>
            <w:bookmarkStart w:id="108" w:name=".trail.44"/>
            <w:bookmarkEnd w:id="107"/>
            <w:bookmarkEnd w:id="108"/>
          </w:p>
        </w:tc>
        <w:tc>
          <w:tcPr>
            <w:tcW w:w="60" w:type="dxa"/>
            <w:tcBorders/>
            <w:shd w:fill="FFFFFF" w:val="clear"/>
            <w:tcMar>
              <w:bottom w:w="0" w:type="dxa"/>
            </w:tcMar>
            <w:vAlign w:val="center"/>
          </w:tcPr>
          <w:p>
            <w:pPr>
              <w:pStyle w:val="TableContents"/>
              <w:bidi w:val="0"/>
              <w:spacing w:before="0" w:after="0"/>
              <w:ind w:left="0" w:right="0" w:hanging="0"/>
              <w:jc w:val="left"/>
              <w:rPr/>
            </w:pPr>
            <w:r>
              <w:rPr/>
              <w:t>​</w:t>
            </w:r>
            <w:bookmarkStart w:id="109" w:name=".lead.411"/>
            <w:bookmarkStart w:id="110" w:name=".lead.412"/>
            <w:bookmarkEnd w:id="109"/>
            <w:bookmarkEnd w:id="110"/>
          </w:p>
        </w:tc>
        <w:tc>
          <w:tcPr>
            <w:tcW w:w="60" w:type="dxa"/>
            <w:tcBorders/>
            <w:shd w:fill="FFFFFF" w:val="clear"/>
            <w:tcMar>
              <w:bottom w:w="0" w:type="dxa"/>
            </w:tcMar>
            <w:vAlign w:val="center"/>
          </w:tcPr>
          <w:p>
            <w:pPr>
              <w:pStyle w:val="TableContents"/>
              <w:bidi w:val="0"/>
              <w:spacing w:before="0" w:after="0"/>
              <w:ind w:left="0" w:right="0" w:hanging="0"/>
              <w:jc w:val="left"/>
              <w:rPr/>
            </w:pPr>
            <w:r>
              <w:rPr/>
              <w:t>​</w:t>
            </w:r>
            <w:bookmarkStart w:id="111" w:name=".symb.411"/>
            <w:bookmarkStart w:id="112" w:name=".symb.412"/>
            <w:bookmarkEnd w:id="111"/>
            <w:bookmarkEnd w:id="112"/>
          </w:p>
        </w:tc>
        <w:tc>
          <w:tcPr>
            <w:tcW w:w="394" w:type="dxa"/>
            <w:tcBorders/>
            <w:shd w:fill="FFFFFF" w:val="clear"/>
            <w:tcMar>
              <w:bottom w:w="0" w:type="dxa"/>
            </w:tcMar>
            <w:vAlign w:val="center"/>
          </w:tcPr>
          <w:p>
            <w:pPr>
              <w:pStyle w:val="TableContents"/>
              <w:bidi w:val="0"/>
              <w:spacing w:before="0" w:after="0"/>
              <w:ind w:left="0" w:right="0" w:hanging="0"/>
              <w:jc w:val="left"/>
              <w:rPr/>
            </w:pPr>
            <w:r>
              <w:rPr/>
              <w:t>​</w:t>
            </w:r>
            <w:bookmarkStart w:id="113" w:name=".amt.411"/>
            <w:bookmarkStart w:id="114" w:name=".amt.412"/>
            <w:bookmarkEnd w:id="113"/>
            <w:bookmarkEnd w:id="114"/>
          </w:p>
        </w:tc>
        <w:tc>
          <w:tcPr>
            <w:tcW w:w="181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w:t>
            </w:r>
          </w:p>
        </w:tc>
        <w:tc>
          <w:tcPr>
            <w:tcW w:w="64"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The MGW Trust (6)</w:t>
            </w:r>
            <w:bookmarkStart w:id="115" w:name=".lead.27"/>
            <w:bookmarkStart w:id="116" w:name=".lead.28"/>
            <w:bookmarkEnd w:id="115"/>
            <w:bookmarkEnd w:id="116"/>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7" w:name=".symb.27"/>
            <w:bookmarkStart w:id="118" w:name=".symb.28"/>
            <w:bookmarkEnd w:id="117"/>
            <w:bookmarkEnd w:id="118"/>
          </w:p>
        </w:tc>
        <w:tc>
          <w:tcPr>
            <w:tcW w:w="67" w:type="dxa"/>
            <w:tcBorders/>
            <w:shd w:fill="CCEEFF" w:val="clear"/>
            <w:tcMar>
              <w:bottom w:w="0" w:type="dxa"/>
            </w:tcMar>
            <w:vAlign w:val="center"/>
          </w:tcPr>
          <w:p>
            <w:pPr>
              <w:pStyle w:val="TableContents"/>
              <w:bidi w:val="0"/>
              <w:spacing w:before="0" w:after="0"/>
              <w:ind w:left="0" w:right="0" w:hanging="0"/>
              <w:jc w:val="left"/>
              <w:rPr/>
            </w:pPr>
            <w:r>
              <w:rPr/>
              <w:t>​</w:t>
            </w:r>
            <w:bookmarkStart w:id="119" w:name=".amt.27"/>
            <w:bookmarkStart w:id="120" w:name=".amt.28"/>
            <w:bookmarkEnd w:id="119"/>
            <w:bookmarkEnd w:id="120"/>
          </w:p>
        </w:tc>
        <w:tc>
          <w:tcPr>
            <w:tcW w:w="2487"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895,611</w:t>
            </w:r>
            <w:bookmarkStart w:id="121" w:name=".trail.27"/>
            <w:bookmarkStart w:id="122" w:name=".trail.28"/>
            <w:bookmarkEnd w:id="121"/>
            <w:bookmarkEnd w:id="122"/>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3" w:name=".lead.37"/>
            <w:bookmarkStart w:id="124" w:name=".lead.38"/>
            <w:bookmarkEnd w:id="123"/>
            <w:bookmarkEnd w:id="124"/>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5" w:name=".symb.37"/>
            <w:bookmarkStart w:id="126" w:name=".symb.38"/>
            <w:bookmarkEnd w:id="125"/>
            <w:bookmarkEnd w:id="126"/>
          </w:p>
        </w:tc>
        <w:tc>
          <w:tcPr>
            <w:tcW w:w="40" w:type="dxa"/>
            <w:tcBorders/>
            <w:shd w:fill="CCEEFF" w:val="clear"/>
            <w:tcMar>
              <w:bottom w:w="0" w:type="dxa"/>
            </w:tcMar>
            <w:vAlign w:val="center"/>
          </w:tcPr>
          <w:p>
            <w:pPr>
              <w:pStyle w:val="TableContents"/>
              <w:bidi w:val="0"/>
              <w:spacing w:before="0" w:after="0"/>
              <w:ind w:left="0" w:right="0" w:hanging="0"/>
              <w:jc w:val="left"/>
              <w:rPr/>
            </w:pPr>
            <w:r>
              <w:rPr/>
              <w:t>​</w:t>
            </w:r>
            <w:bookmarkStart w:id="127" w:name=".amt.37"/>
            <w:bookmarkStart w:id="128" w:name=".amt.38"/>
            <w:bookmarkEnd w:id="127"/>
            <w:bookmarkEnd w:id="128"/>
          </w:p>
        </w:tc>
        <w:tc>
          <w:tcPr>
            <w:tcW w:w="148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621,018</w:t>
            </w:r>
            <w:bookmarkStart w:id="129" w:name=".trail.37"/>
            <w:bookmarkStart w:id="130" w:name=".trail.38"/>
            <w:bookmarkEnd w:id="129"/>
            <w:bookmarkEnd w:id="130"/>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31" w:name=".lead.413"/>
            <w:bookmarkStart w:id="132" w:name=".lead.414"/>
            <w:bookmarkEnd w:id="131"/>
            <w:bookmarkEnd w:id="132"/>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33" w:name=".symb.413"/>
            <w:bookmarkStart w:id="134" w:name=".symb.414"/>
            <w:bookmarkEnd w:id="133"/>
            <w:bookmarkEnd w:id="134"/>
          </w:p>
        </w:tc>
        <w:tc>
          <w:tcPr>
            <w:tcW w:w="49" w:type="dxa"/>
            <w:tcBorders/>
            <w:shd w:fill="CCEEFF" w:val="clear"/>
            <w:tcMar>
              <w:bottom w:w="0" w:type="dxa"/>
            </w:tcMar>
            <w:vAlign w:val="center"/>
          </w:tcPr>
          <w:p>
            <w:pPr>
              <w:pStyle w:val="TableContents"/>
              <w:bidi w:val="0"/>
              <w:spacing w:before="0" w:after="0"/>
              <w:ind w:left="0" w:right="0" w:hanging="0"/>
              <w:jc w:val="left"/>
              <w:rPr/>
            </w:pPr>
            <w:r>
              <w:rPr/>
              <w:t>​</w:t>
            </w:r>
            <w:bookmarkStart w:id="135" w:name=".amt.413"/>
            <w:bookmarkStart w:id="136" w:name=".amt.414"/>
            <w:bookmarkEnd w:id="135"/>
            <w:bookmarkEnd w:id="136"/>
          </w:p>
        </w:tc>
        <w:tc>
          <w:tcPr>
            <w:tcW w:w="184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274,593</w:t>
            </w:r>
            <w:bookmarkStart w:id="137" w:name=".trail.45"/>
            <w:bookmarkStart w:id="138" w:name=".trail.46"/>
            <w:bookmarkEnd w:id="137"/>
            <w:bookmarkEnd w:id="138"/>
          </w:p>
        </w:tc>
        <w:tc>
          <w:tcPr>
            <w:tcW w:w="60" w:type="dxa"/>
            <w:tcBorders/>
            <w:shd w:fill="CCEEFF" w:val="clear"/>
            <w:tcMar>
              <w:bottom w:w="0" w:type="dxa"/>
            </w:tcMar>
            <w:vAlign w:val="center"/>
          </w:tcPr>
          <w:p>
            <w:pPr>
              <w:pStyle w:val="TableContents"/>
              <w:bidi w:val="0"/>
              <w:spacing w:before="0" w:after="0"/>
              <w:ind w:left="0" w:right="0" w:hanging="0"/>
              <w:jc w:val="left"/>
              <w:rPr/>
            </w:pPr>
            <w:r>
              <w:rPr/>
              <w:t>​</w:t>
            </w:r>
            <w:bookmarkStart w:id="139" w:name=".lead.415"/>
            <w:bookmarkStart w:id="140" w:name=".lead.416"/>
            <w:bookmarkEnd w:id="139"/>
            <w:bookmarkEnd w:id="140"/>
          </w:p>
        </w:tc>
        <w:tc>
          <w:tcPr>
            <w:tcW w:w="60" w:type="dxa"/>
            <w:tcBorders/>
            <w:shd w:fill="CCEEFF" w:val="clear"/>
            <w:tcMar>
              <w:bottom w:w="0" w:type="dxa"/>
            </w:tcMar>
            <w:vAlign w:val="center"/>
          </w:tcPr>
          <w:p>
            <w:pPr>
              <w:pStyle w:val="TableContents"/>
              <w:bidi w:val="0"/>
              <w:spacing w:before="0" w:after="0"/>
              <w:ind w:left="0" w:right="0" w:hanging="0"/>
              <w:jc w:val="left"/>
              <w:rPr/>
            </w:pPr>
            <w:r>
              <w:rPr/>
              <w:t>​</w:t>
            </w:r>
            <w:bookmarkStart w:id="141" w:name=".symb.415"/>
            <w:bookmarkStart w:id="142" w:name=".symb.416"/>
            <w:bookmarkEnd w:id="141"/>
            <w:bookmarkEnd w:id="142"/>
          </w:p>
        </w:tc>
        <w:tc>
          <w:tcPr>
            <w:tcW w:w="394" w:type="dxa"/>
            <w:tcBorders/>
            <w:shd w:fill="CCEEFF" w:val="clear"/>
            <w:tcMar>
              <w:bottom w:w="0" w:type="dxa"/>
            </w:tcMar>
            <w:vAlign w:val="center"/>
          </w:tcPr>
          <w:p>
            <w:pPr>
              <w:pStyle w:val="TableContents"/>
              <w:bidi w:val="0"/>
              <w:spacing w:before="0" w:after="0"/>
              <w:ind w:left="0" w:right="0" w:hanging="0"/>
              <w:jc w:val="left"/>
              <w:rPr/>
            </w:pPr>
            <w:r>
              <w:rPr/>
              <w:t>​</w:t>
            </w:r>
            <w:bookmarkStart w:id="143" w:name=".amt.415"/>
            <w:bookmarkStart w:id="144" w:name=".amt.416"/>
            <w:bookmarkEnd w:id="143"/>
            <w:bookmarkEnd w:id="144"/>
          </w:p>
        </w:tc>
        <w:tc>
          <w:tcPr>
            <w:tcW w:w="18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w:t>
            </w:r>
          </w:p>
        </w:tc>
        <w:tc>
          <w:tcPr>
            <w:tcW w:w="64"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20"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Woodline Master Fund LP (7)</w:t>
            </w:r>
            <w:bookmarkStart w:id="145" w:name=".lead.29"/>
            <w:bookmarkStart w:id="146" w:name=".lead.210"/>
            <w:bookmarkEnd w:id="145"/>
            <w:bookmarkEnd w:id="146"/>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47" w:name=".symb.29"/>
            <w:bookmarkStart w:id="148" w:name=".symb.210"/>
            <w:bookmarkEnd w:id="147"/>
            <w:bookmarkEnd w:id="148"/>
          </w:p>
        </w:tc>
        <w:tc>
          <w:tcPr>
            <w:tcW w:w="67" w:type="dxa"/>
            <w:tcBorders/>
            <w:shd w:fill="FFFFFF" w:val="clear"/>
            <w:tcMar>
              <w:bottom w:w="0" w:type="dxa"/>
            </w:tcMar>
            <w:vAlign w:val="center"/>
          </w:tcPr>
          <w:p>
            <w:pPr>
              <w:pStyle w:val="TableContents"/>
              <w:bidi w:val="0"/>
              <w:spacing w:before="0" w:after="0"/>
              <w:ind w:left="0" w:right="0" w:hanging="0"/>
              <w:jc w:val="left"/>
              <w:rPr/>
            </w:pPr>
            <w:r>
              <w:rPr/>
              <w:t>​</w:t>
            </w:r>
            <w:bookmarkStart w:id="149" w:name=".amt.29"/>
            <w:bookmarkStart w:id="150" w:name=".amt.210"/>
            <w:bookmarkEnd w:id="149"/>
            <w:bookmarkEnd w:id="150"/>
          </w:p>
        </w:tc>
        <w:tc>
          <w:tcPr>
            <w:tcW w:w="2487"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1,166,559</w:t>
            </w:r>
            <w:bookmarkStart w:id="151" w:name=".trail.29"/>
            <w:bookmarkStart w:id="152" w:name=".trail.210"/>
            <w:bookmarkEnd w:id="151"/>
            <w:bookmarkEnd w:id="152"/>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53" w:name=".lead.39"/>
            <w:bookmarkStart w:id="154" w:name=".lead.310"/>
            <w:bookmarkEnd w:id="153"/>
            <w:bookmarkEnd w:id="154"/>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55" w:name=".symb.39"/>
            <w:bookmarkStart w:id="156" w:name=".symb.310"/>
            <w:bookmarkEnd w:id="155"/>
            <w:bookmarkEnd w:id="156"/>
          </w:p>
        </w:tc>
        <w:tc>
          <w:tcPr>
            <w:tcW w:w="40" w:type="dxa"/>
            <w:tcBorders/>
            <w:shd w:fill="FFFFFF" w:val="clear"/>
            <w:tcMar>
              <w:bottom w:w="0" w:type="dxa"/>
            </w:tcMar>
            <w:vAlign w:val="center"/>
          </w:tcPr>
          <w:p>
            <w:pPr>
              <w:pStyle w:val="TableContents"/>
              <w:bidi w:val="0"/>
              <w:spacing w:before="0" w:after="0"/>
              <w:ind w:left="0" w:right="0" w:hanging="0"/>
              <w:jc w:val="left"/>
              <w:rPr/>
            </w:pPr>
            <w:r>
              <w:rPr/>
              <w:t>​</w:t>
            </w:r>
            <w:bookmarkStart w:id="157" w:name=".amt.39"/>
            <w:bookmarkStart w:id="158" w:name=".amt.310"/>
            <w:bookmarkEnd w:id="157"/>
            <w:bookmarkEnd w:id="158"/>
          </w:p>
        </w:tc>
        <w:tc>
          <w:tcPr>
            <w:tcW w:w="148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716,559</w:t>
            </w:r>
            <w:bookmarkStart w:id="159" w:name=".trail.39"/>
            <w:bookmarkStart w:id="160" w:name=".trail.310"/>
            <w:bookmarkEnd w:id="159"/>
            <w:bookmarkEnd w:id="160"/>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61" w:name=".lead.417"/>
            <w:bookmarkStart w:id="162" w:name=".lead.418"/>
            <w:bookmarkEnd w:id="161"/>
            <w:bookmarkEnd w:id="162"/>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63" w:name=".symb.417"/>
            <w:bookmarkStart w:id="164" w:name=".symb.418"/>
            <w:bookmarkEnd w:id="163"/>
            <w:bookmarkEnd w:id="164"/>
          </w:p>
        </w:tc>
        <w:tc>
          <w:tcPr>
            <w:tcW w:w="49" w:type="dxa"/>
            <w:tcBorders/>
            <w:shd w:fill="FFFFFF" w:val="clear"/>
            <w:tcMar>
              <w:bottom w:w="0" w:type="dxa"/>
            </w:tcMar>
            <w:vAlign w:val="center"/>
          </w:tcPr>
          <w:p>
            <w:pPr>
              <w:pStyle w:val="TableContents"/>
              <w:bidi w:val="0"/>
              <w:spacing w:before="0" w:after="0"/>
              <w:ind w:left="0" w:right="0" w:hanging="0"/>
              <w:jc w:val="left"/>
              <w:rPr/>
            </w:pPr>
            <w:r>
              <w:rPr/>
              <w:t>​</w:t>
            </w:r>
            <w:bookmarkStart w:id="165" w:name=".amt.417"/>
            <w:bookmarkStart w:id="166" w:name=".amt.418"/>
            <w:bookmarkEnd w:id="165"/>
            <w:bookmarkEnd w:id="166"/>
          </w:p>
        </w:tc>
        <w:tc>
          <w:tcPr>
            <w:tcW w:w="184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450,000</w:t>
            </w:r>
            <w:bookmarkStart w:id="167" w:name=".trail.47"/>
            <w:bookmarkStart w:id="168" w:name=".trail.48"/>
            <w:bookmarkEnd w:id="167"/>
            <w:bookmarkEnd w:id="168"/>
          </w:p>
        </w:tc>
        <w:tc>
          <w:tcPr>
            <w:tcW w:w="60" w:type="dxa"/>
            <w:tcBorders/>
            <w:shd w:fill="FFFFFF" w:val="clear"/>
            <w:tcMar>
              <w:bottom w:w="0" w:type="dxa"/>
            </w:tcMar>
            <w:vAlign w:val="center"/>
          </w:tcPr>
          <w:p>
            <w:pPr>
              <w:pStyle w:val="TableContents"/>
              <w:bidi w:val="0"/>
              <w:spacing w:before="0" w:after="0"/>
              <w:ind w:left="0" w:right="0" w:hanging="0"/>
              <w:jc w:val="left"/>
              <w:rPr/>
            </w:pPr>
            <w:r>
              <w:rPr/>
              <w:t>​</w:t>
            </w:r>
            <w:bookmarkStart w:id="169" w:name=".lead.419"/>
            <w:bookmarkStart w:id="170" w:name=".lead.420"/>
            <w:bookmarkEnd w:id="169"/>
            <w:bookmarkEnd w:id="170"/>
          </w:p>
        </w:tc>
        <w:tc>
          <w:tcPr>
            <w:tcW w:w="60" w:type="dxa"/>
            <w:tcBorders/>
            <w:shd w:fill="FFFFFF" w:val="clear"/>
            <w:tcMar>
              <w:bottom w:w="0" w:type="dxa"/>
            </w:tcMar>
            <w:vAlign w:val="center"/>
          </w:tcPr>
          <w:p>
            <w:pPr>
              <w:pStyle w:val="TableContents"/>
              <w:bidi w:val="0"/>
              <w:spacing w:before="0" w:after="0"/>
              <w:ind w:left="0" w:right="0" w:hanging="0"/>
              <w:jc w:val="left"/>
              <w:rPr/>
            </w:pPr>
            <w:r>
              <w:rPr/>
              <w:t>​</w:t>
            </w:r>
            <w:bookmarkStart w:id="171" w:name=".symb.419"/>
            <w:bookmarkStart w:id="172" w:name=".symb.420"/>
            <w:bookmarkEnd w:id="171"/>
            <w:bookmarkEnd w:id="172"/>
          </w:p>
        </w:tc>
        <w:tc>
          <w:tcPr>
            <w:tcW w:w="394" w:type="dxa"/>
            <w:tcBorders/>
            <w:shd w:fill="FFFFFF" w:val="clear"/>
            <w:tcMar>
              <w:bottom w:w="0" w:type="dxa"/>
            </w:tcMar>
            <w:vAlign w:val="center"/>
          </w:tcPr>
          <w:p>
            <w:pPr>
              <w:pStyle w:val="TableContents"/>
              <w:bidi w:val="0"/>
              <w:spacing w:before="0" w:after="0"/>
              <w:ind w:left="0" w:right="0" w:hanging="0"/>
              <w:jc w:val="left"/>
              <w:rPr/>
            </w:pPr>
            <w:r>
              <w:rPr/>
              <w:t>​</w:t>
            </w:r>
            <w:bookmarkStart w:id="173" w:name=".amt.419"/>
            <w:bookmarkStart w:id="174" w:name=".amt.420"/>
            <w:bookmarkEnd w:id="173"/>
            <w:bookmarkEnd w:id="174"/>
          </w:p>
        </w:tc>
        <w:tc>
          <w:tcPr>
            <w:tcW w:w="181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64"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Represents beneficial ownership of less than 1%.</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Subject to beneficial ownership blocker.</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Based upon 13,526,233 shares outstanding as of June 22,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09"/>
        <w:gridCol w:w="9896"/>
      </w:tblGrid>
      <w:tr>
        <w:trPr/>
        <w:tc>
          <w:tcPr>
            <w:tcW w:w="3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Assumes that all common stock being registered under the registration statement of which this prospectus forms a part are sold in this offering, and that none of the selling stockholders acquire additional common stock after the date of this prospectus and prior to completion of this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89"/>
        <w:gridCol w:w="9916"/>
      </w:tblGrid>
      <w:tr>
        <w:trPr/>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284,235 shares of common stock, of which 159,235 shares were issued by us in the Private Placement and which we are registering hereby, (ii) Series B Warrants to purchase an aggregate of 159,235 shares of common stock issued by us in the Private Placement and which we are registering hereby, and (iii) Series C Warrants to purchase an aggregate of 159,235 shares of Common Stock issued by us in the Private Placement and which we are registering hereby. 3i Management LLC is the general partner of 3i, LP, and Maier Joshua Tarlow is the manager of 3i Management LLC. As such, Mr. Tarlow exercises sole voting and investment discretion over securities beneficially owned directly or indirectly by 3i, LP and 3i Management LLC. Mr. Tarlow disclaims beneficial ownership of the securities beneficially owned directly by 3i, LP and indirectly by 3i Management LLC.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business address of each of the aforementioned parties is 2 Wooster Street, 2nd Floor, New York, NY 10013.  We have been advised that none of Mr. Tarlow, 3i Management LLC, or 3i, LP is a member of the Financial Industry Regulatory Authority, or FINRA, or an independent broker-dealer, or an affiliate or associated person of a FINRA member or independent broker-dealer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89"/>
        <w:gridCol w:w="9916"/>
      </w:tblGrid>
      <w:tr>
        <w:trPr/>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Series A warrants issued by us in a prior transaction (the “Series A Warrants”) which entitle the selling stockholder to purchase an aggregate of 734,363 shares of common stock, (ii) Pre-funded Warrants to purchase an aggregate of 1,592,863 shares of common stock issued by us in the Private Placement and which we are registering hereby, (iii) Series B Warrants to purchase an aggregate of 1,592,863 shares of common stock issued by us in the Private Placement and which we are registering hereby, and (iv) Series C Warrants to purchase an aggregate of 1,592,863 shares of Common Stock issued by us in the Private Placement and which we are registering hereby.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Series A Warrants, Series B Warrants and Series C Warrants are subject to a beneficial ownership limitation of 4.99%, and the Pre-Funded Warrants are subject to a beneficial ownership limitation of 9.999%,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(i) 216,817 shares of common stock held directly by Joshua Boger, PhD, (ii) 1,600,117 shares of common stock held by the Joshua S. Boger 2021 Trust (the “Boger Trust”), of which 955,414 shares were issued by us in the Private Placement and which we are registering hereby, (iii) 195,748 shares of common stock held by The Amy S. Boger 2021 Trust (“ASB 2021 Trust”), (iv) Series B Warrants to purchase an aggregate of 955,414 shares of common stock issued by us in the Private Placement and which we are registering hereby, and (v) Series C Warrants to purchase an aggregate of 955,414 shares of Common Stock issued by us in the Private Placement and which we are registering hereby. Dr. Boger is the sole trustee of the Boger Trust and the ASB 2021 Trust and may be deemed to be the beneficial owner of such securities. Dr. Boger disclaims beneficial ownership of such securities except to the extent of his pecuniary interest therein. The Series B Warrants and Series C Warrants are subject to a beneficial ownership limitation of 19.99%,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for Dr. Boger is c/o CervoMed Inc., 20 Park Plaza, Suite 424, Boston, MA 02116.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481,599 shares of common stock, of which 207,006 shares were issued by us in the Private Placement and which we are registering hereby, (ii) Series B Warrants to purchase an aggregate of 207,006 shares of common stock issued by us in the Private Placement and which we are registering hereby, and (iii) Series C Warrants to purchase an aggregate of 207,006 shares of Common Stock issued by us in the Private Placement and which we are registering hereby. The JGA Trust is one of multiple trusts established by John Alam, M.D. and his wife, Sylvie Grégoire, Pharm.D., for the benefit of family members. Dr. Alam and Dr. Grégoire are directors of the Company and Dr. Alam serves as our President and Chief Executive Officer. Dr. Alam and Dr. Grégoire do not possess authority to vote or dispose of the securities held by The JGA Trust, and they disclaim beneficial ownership of such securities.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for The JGA Trust is c/o Michel Grégoire, Trustee, 1510 Menlo Drive, Kennesaw, GA 30152.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481,599 shares of common stock, of which 207,006 shares were issued by us in the Private Placement and which we are registering hereby, (ii) Series B Warrants to purchase an aggregate of 207,006 shares of common stock issued by us in the Private Placement and which we are registering hereby, and (iii) Series C Warrants to purchase an aggregate of 207,006 shares of Common Stock issued by us in the Private Placement and which we are registering hereby. The MGW Trust is one of multiple trusts established by Dr. Alam and his wife, Dr. Grégoire, for the benefit of family members. Dr. Alam and Dr. Grégoire are directors of the Company and Dr. Alam serves as our President and Chief Executive Officer. Dr. Alam and Dr. Grégoire do not possess authority to vote or dispose of the securities held by The MGW Trust, and they disclaim beneficial ownership of such securities.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for The MGW Trust is c/o Michel Grégoire, Trustee, 1510 Menlo Drive, Kennesaw, GA 30152.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selling stockholder holds (i) 688,853 shares of common stock, of which 238,853 shares were issued by us in the Private Placement and which we are registering hereby, (ii) Series B Warrants to purchase an aggregate of 238,853 shares of common stock issued by us in the Private Placement and which we are registering hereby, and (iii) Series C Warrants to purchase an aggregate of 238,853 shares of Common Stock issued by us in the Private Placement and which we are registering hereby. Woodline Partners LP serves as the investment manager of Woodline Master Fund LP and may be deemed to be the beneficial owner of the shares. Woodline Partners LP disclaims any beneficial ownership of these shares. The Series B Warrants and Series C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Woodline Master Fund LP is 4 Embarcadero Center, Suite 3450, San Francisco, CA 94111.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PLAN OF DISTRIBUTION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Each selling stockholder and any of their pledgees, assignees and successors-in-interest may, from time to time, sell any or all of common stock (including any common stock issuable upon the exercise of Pre-Funded Warrants, Series B Warrants and/or Series C Warrants) covered by this prospectus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any national securities exchange or quotation service on which the securities may be listed or quoted at the time of sale;</w:t>
            </w:r>
          </w:p>
        </w:tc>
      </w:tr>
    </w:tbl>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over-the-counter market;</w:t>
            </w:r>
          </w:p>
        </w:tc>
      </w:tr>
    </w:tbl>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transactions otherwise than on these exchanges or systems or in the over-the-counter market;</w:t>
            </w:r>
          </w:p>
        </w:tc>
      </w:tr>
    </w:tbl>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the writing of options, whether such options are listed on an options exchange or otherwise;</w:t>
            </w:r>
          </w:p>
        </w:tc>
      </w:tr>
    </w:tbl>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ordinary brokerage transactions and transactions in which the broker-dealer solicits purchasers;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block trades in which the broker-dealer will attempt to sell the shares as agent but may position and resell a portion of the block as principal to facilitate the transaction;</w:t>
            </w:r>
          </w:p>
        </w:tc>
      </w:tr>
    </w:tbl>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purchases by a broker-dealer as principal and resale by the broker-dealer for its account;</w:t>
            </w:r>
          </w:p>
        </w:tc>
      </w:tr>
    </w:tbl>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exchange distribution in accordance with the rules of the applicable exchange;</w:t>
            </w:r>
          </w:p>
        </w:tc>
      </w:tr>
    </w:tbl>
    <w:tbl>
      <w:tblPr>
        <w:tblW w:w="2980" w:type="dxa"/>
        <w:jc w:val="left"/>
        <w:tblInd w:w="0" w:type="dxa"/>
        <w:tblLayout w:type="fixed"/>
        <w:tblCellMar>
          <w:top w:w="0" w:type="dxa"/>
          <w:left w:w="0" w:type="dxa"/>
          <w:bottom w:w="0" w:type="dxa"/>
          <w:right w:w="0" w:type="dxa"/>
        </w:tblCellMar>
      </w:tblPr>
      <w:tblGrid>
        <w:gridCol w:w="60"/>
        <w:gridCol w:w="170"/>
        <w:gridCol w:w="275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privately negotiated transactions;</w:t>
            </w:r>
          </w:p>
        </w:tc>
      </w:tr>
    </w:tbl>
    <w:tbl>
      <w:tblPr>
        <w:tblW w:w="1150" w:type="dxa"/>
        <w:jc w:val="left"/>
        <w:tblInd w:w="0" w:type="dxa"/>
        <w:tblLayout w:type="fixed"/>
        <w:tblCellMar>
          <w:top w:w="0" w:type="dxa"/>
          <w:left w:w="0" w:type="dxa"/>
          <w:bottom w:w="0" w:type="dxa"/>
          <w:right w:w="0" w:type="dxa"/>
        </w:tblCellMar>
      </w:tblPr>
      <w:tblGrid>
        <w:gridCol w:w="60"/>
        <w:gridCol w:w="170"/>
        <w:gridCol w:w="92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short sales;</w:t>
            </w:r>
          </w:p>
        </w:tc>
      </w:tr>
    </w:tbl>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pursuant to Rule 144;</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broker-dealers may agree with the selling stockholders to sell a specified number of such shares at a stipulated price per share;</w:t>
            </w:r>
          </w:p>
        </w:tc>
      </w:tr>
    </w:tbl>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combination of any such methods of sale; and</w:t>
            </w:r>
          </w:p>
        </w:tc>
      </w:tr>
    </w:tbl>
    <w:tbl>
      <w:tblPr>
        <w:tblW w:w="4735" w:type="dxa"/>
        <w:jc w:val="left"/>
        <w:tblInd w:w="0" w:type="dxa"/>
        <w:tblLayout w:type="fixed"/>
        <w:tblCellMar>
          <w:top w:w="0" w:type="dxa"/>
          <w:left w:w="0" w:type="dxa"/>
          <w:bottom w:w="0" w:type="dxa"/>
          <w:right w:w="0" w:type="dxa"/>
        </w:tblCellMar>
      </w:tblPr>
      <w:tblGrid>
        <w:gridCol w:w="60"/>
        <w:gridCol w:w="170"/>
        <w:gridCol w:w="450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and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may pledge or grant a security interest in some or all of the common stock, the warrants or shares of common stock they acquire upon the exercise of Pre-Funded Warrants, Series B Warrants and/or Series C Warrants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pay all expenses of the registration of the shares of common stock (including common stock issuable upon exercise of the Pre-Funded Warrants, Series B Warrants and/or Series C Warrants) pursuant to the Purchase Agreement, estimated to be approximately $77,000 in total, including, without limitation, SEC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LEGAL MATTERS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legal matters in connection with the validity of the securities offered hereby will passed upon for us by Mintz, Levin, Cohn, Ferris, Glovsky and Popeo, P.C., Boston, Massachusetts.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EXPERTS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CervoMed Inc. and its subsidiaries as of December 31, 2025 and 2024 and for the years then ended  incorporated in this prospectus by reference from the CervoMed Inc. Annual Report on Form 10-K for the year ended December 31, 2025, have been audited by RSM US LLP, an independent registered public accounting firm, as stated in their report thereon (which report on the consolidated financial statements expresses an unqualified opinion and includes an explanatory paragraph relating to CervoMed Inc.’s ability to continue as a going concern), incorporated herein by reference, and have been incorporated in this prospectus and registration statement in reliance upon such report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WHERE YOU CAN FIND MORE INFORMATION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is only part of a registration statement on Form S-3 that we have filed with the SEC under the Securities Act, and therefore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are subject to the reporting requirements of the Exchange Act and file annual reports on Form 10-K, quarterly reports on Form 10-Q, current reports on Form 8-K, proxy statements and other information and amendments to those reports filed or furnished with the SEC. SEC filings are available at the SEC’s website at </w:t>
      </w:r>
      <w:r>
        <w:rPr>
          <w:rFonts w:ascii="Times New Roman" w:hAnsi="Times New Roman"/>
          <w:i/>
          <w:caps w:val="false"/>
          <w:smallCaps w:val="false"/>
          <w:sz w:val="20"/>
        </w:rPr>
        <w:t>http://www.sec.gov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maintain a website at </w:t>
      </w:r>
      <w:r>
        <w:rPr>
          <w:rFonts w:ascii="Times New Roman" w:hAnsi="Times New Roman"/>
          <w:i/>
          <w:caps w:val="false"/>
          <w:smallCaps w:val="false"/>
          <w:sz w:val="20"/>
        </w:rPr>
        <w:t>www.cervomed.com,</w:t>
      </w:r>
      <w:r>
        <w:rPr>
          <w:rFonts w:ascii="Times New Roman" w:hAnsi="Times New Roman"/>
          <w:caps w:val="false"/>
          <w:smallCaps w:val="false"/>
          <w:sz w:val="20"/>
        </w:rPr>
        <w:t> through which you can access our SEC filings.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center"/>
        <w:rPr>
          <w:rFonts w:ascii="Times New Roman" w:hAnsi="Times New Roman"/>
          <w:caps w:val="false"/>
          <w:smallCaps w:val="false"/>
          <w:sz w:val="20"/>
        </w:rPr>
      </w:pPr>
      <w:r>
        <w:rPr>
          <w:rFonts w:ascii="Times New Roman" w:hAnsi="Times New Roman"/>
          <w:b/>
          <w:caps w:val="false"/>
          <w:smallCaps w:val="false"/>
          <w:sz w:val="20"/>
        </w:rPr>
        <w:t>INFORMATION INCORPORATED BY REFERENCE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This means we can disclose information to you by referring you to another document we filed with the SEC. The information incorporated by reference is deemed to be part of this prospectus, and subsequent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from the SEC’s website at </w:t>
      </w:r>
      <w:r>
        <w:rPr>
          <w:rFonts w:ascii="Times New Roman" w:hAnsi="Times New Roman"/>
          <w:i/>
          <w:caps w:val="false"/>
          <w:smallCaps w:val="false"/>
          <w:sz w:val="20"/>
        </w:rPr>
        <w:t>http://www.sec.gov</w:t>
      </w:r>
      <w:r>
        <w:rPr>
          <w:rFonts w:ascii="Times New Roman" w:hAnsi="Times New Roman"/>
          <w:caps w:val="false"/>
          <w:smallCaps w:val="false"/>
          <w:sz w:val="20"/>
        </w:rPr>
        <w:t>.  This prospectus incorporates by reference the following documents (other than any portion of the respective filings furnished, rather than filed, under the applicable SEC rules) that we have filed with the SEC but have not included or delivered with this prospectus:</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10"/>
        <w:gridCol w:w="90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Annual Report on Form 10-K for the year ended December 31, 2025, filed with the SEC on </w:t>
            </w:r>
            <w:hyperlink r:id="rId3">
              <w:r>
                <w:rPr>
                  <w:rStyle w:val="InternetLink"/>
                  <w:rFonts w:ascii="Times New Roman" w:hAnsi="Times New Roman"/>
                  <w:caps w:val="false"/>
                  <w:smallCaps w:val="false"/>
                  <w:sz w:val="20"/>
                </w:rPr>
                <w:t>March 13,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Quarterly Reports on Form 10-Q for the quarter ended March 31, 2026, filed with the SEC on </w:t>
            </w:r>
            <w:hyperlink r:id="rId4">
              <w:r>
                <w:rPr>
                  <w:rStyle w:val="InternetLink"/>
                  <w:rFonts w:ascii="Times New Roman" w:hAnsi="Times New Roman"/>
                  <w:caps w:val="false"/>
                  <w:smallCaps w:val="false"/>
                  <w:sz w:val="20"/>
                </w:rPr>
                <w:t>May 15, 2026</w:t>
              </w:r>
            </w:hyperlink>
            <w:r>
              <w:rPr>
                <w:rFonts w:ascii="Times New Roman" w:hAnsi="Times New Roman"/>
                <w:caps w:val="false"/>
                <w:smallCaps w:val="false"/>
                <w:sz w:val="20"/>
              </w:rPr>
              <w:t>;</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portions of our Definitive Proxy Statement on Schedule 14A filed with the SEC on </w:t>
            </w:r>
            <w:hyperlink r:id="rId5">
              <w:r>
                <w:rPr>
                  <w:rStyle w:val="InternetLink"/>
                  <w:rFonts w:ascii="Times New Roman" w:hAnsi="Times New Roman"/>
                  <w:caps w:val="false"/>
                  <w:smallCaps w:val="false"/>
                  <w:sz w:val="20"/>
                </w:rPr>
                <w:t>April 30, 2026</w:t>
              </w:r>
            </w:hyperlink>
            <w:r>
              <w:rPr>
                <w:rFonts w:ascii="Times New Roman" w:hAnsi="Times New Roman"/>
                <w:caps w:val="false"/>
                <w:smallCaps w:val="false"/>
                <w:sz w:val="20"/>
              </w:rPr>
              <w:t xml:space="preserve"> that are deemed “filed” with the SEC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Current Reports on Form 8-K as filed with the SEC on </w:t>
            </w:r>
            <w:hyperlink r:id="rId6">
              <w:r>
                <w:rPr>
                  <w:rStyle w:val="InternetLink"/>
                  <w:rFonts w:ascii="Times New Roman" w:hAnsi="Times New Roman"/>
                  <w:caps w:val="false"/>
                  <w:smallCaps w:val="false"/>
                  <w:sz w:val="20"/>
                </w:rPr>
                <w:t>February 18, 2026</w:t>
              </w:r>
            </w:hyperlink>
            <w:r>
              <w:rPr>
                <w:rFonts w:ascii="Times New Roman" w:hAnsi="Times New Roman"/>
                <w:caps w:val="false"/>
                <w:smallCaps w:val="false"/>
                <w:sz w:val="20"/>
              </w:rPr>
              <w:t xml:space="preserve">, </w:t>
            </w:r>
            <w:hyperlink r:id="rId7">
              <w:r>
                <w:rPr>
                  <w:rStyle w:val="InternetLink"/>
                  <w:rFonts w:ascii="Times New Roman" w:hAnsi="Times New Roman"/>
                  <w:caps w:val="false"/>
                  <w:smallCaps w:val="false"/>
                  <w:sz w:val="20"/>
                </w:rPr>
                <w:t>March 4,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rPr>
                <w:t>March 19, 2026</w:t>
              </w:r>
            </w:hyperlink>
            <w:r>
              <w:rPr>
                <w:rFonts w:ascii="Times New Roman" w:hAnsi="Times New Roman"/>
                <w:caps w:val="false"/>
                <w:smallCaps w:val="false"/>
                <w:sz w:val="20"/>
              </w:rPr>
              <w:t xml:space="preserve">, </w:t>
            </w:r>
            <w:hyperlink r:id="rId9">
              <w:r>
                <w:rPr>
                  <w:rStyle w:val="InternetLink"/>
                  <w:rFonts w:ascii="Times New Roman" w:hAnsi="Times New Roman"/>
                  <w:caps w:val="false"/>
                  <w:smallCaps w:val="false"/>
                  <w:sz w:val="20"/>
                </w:rPr>
                <w:t>April 22, 2026</w:t>
              </w:r>
            </w:hyperlink>
            <w:r>
              <w:rPr>
                <w:rFonts w:ascii="Times New Roman" w:hAnsi="Times New Roman"/>
                <w:caps w:val="false"/>
                <w:smallCaps w:val="false"/>
                <w:sz w:val="20"/>
              </w:rPr>
              <w:t xml:space="preserve">, </w:t>
            </w:r>
            <w:hyperlink r:id="rId10">
              <w:r>
                <w:rPr>
                  <w:rStyle w:val="InternetLink"/>
                  <w:rFonts w:ascii="Times New Roman" w:hAnsi="Times New Roman"/>
                  <w:caps w:val="false"/>
                  <w:smallCaps w:val="false"/>
                  <w:sz w:val="20"/>
                </w:rPr>
                <w:t>June 9, 2026</w:t>
              </w:r>
            </w:hyperlink>
            <w:r>
              <w:rPr>
                <w:rFonts w:ascii="Times New Roman" w:hAnsi="Times New Roman"/>
                <w:caps w:val="false"/>
                <w:smallCaps w:val="false"/>
                <w:sz w:val="20"/>
              </w:rPr>
              <w:t xml:space="preserve">, </w:t>
            </w:r>
            <w:hyperlink r:id="rId11">
              <w:r>
                <w:rPr>
                  <w:rStyle w:val="InternetLink"/>
                  <w:rFonts w:ascii="Times New Roman" w:hAnsi="Times New Roman"/>
                  <w:caps w:val="false"/>
                  <w:smallCaps w:val="false"/>
                  <w:sz w:val="20"/>
                </w:rPr>
                <w:t>June 10, 2026</w:t>
              </w:r>
            </w:hyperlink>
            <w:r>
              <w:rPr>
                <w:rFonts w:ascii="Times New Roman" w:hAnsi="Times New Roman"/>
                <w:caps w:val="false"/>
                <w:smallCaps w:val="false"/>
                <w:sz w:val="20"/>
              </w:rPr>
              <w:t xml:space="preserve">, </w:t>
            </w:r>
            <w:hyperlink r:id="rId12">
              <w:r>
                <w:rPr>
                  <w:rStyle w:val="InternetLink"/>
                  <w:rFonts w:ascii="Times New Roman" w:hAnsi="Times New Roman"/>
                  <w:caps w:val="false"/>
                  <w:smallCaps w:val="false"/>
                  <w:sz w:val="20"/>
                </w:rPr>
                <w:t>June 18, 2026</w:t>
              </w:r>
            </w:hyperlink>
            <w:r>
              <w:rPr>
                <w:rFonts w:ascii="Times New Roman" w:hAnsi="Times New Roman"/>
                <w:caps w:val="false"/>
                <w:smallCaps w:val="false"/>
                <w:sz w:val="20"/>
              </w:rPr>
              <w:t xml:space="preserve">, </w:t>
            </w:r>
            <w:hyperlink r:id="rId13">
              <w:r>
                <w:rPr>
                  <w:rStyle w:val="InternetLink"/>
                  <w:rFonts w:ascii="Times New Roman" w:hAnsi="Times New Roman"/>
                  <w:caps w:val="false"/>
                  <w:smallCaps w:val="false"/>
                  <w:sz w:val="20"/>
                </w:rPr>
                <w:t>June 22, 2026</w:t>
              </w:r>
            </w:hyperlink>
            <w:r>
              <w:rPr>
                <w:rFonts w:ascii="Times New Roman" w:hAnsi="Times New Roman"/>
                <w:caps w:val="false"/>
                <w:smallCaps w:val="false"/>
                <w:sz w:val="20"/>
              </w:rPr>
              <w:t xml:space="preserve"> and </w:t>
            </w:r>
            <w:hyperlink r:id="rId14">
              <w:r>
                <w:rPr>
                  <w:rStyle w:val="InternetLink"/>
                  <w:rFonts w:ascii="Times New Roman" w:hAnsi="Times New Roman"/>
                  <w:caps w:val="false"/>
                  <w:smallCaps w:val="false"/>
                  <w:sz w:val="20"/>
                </w:rPr>
                <w:t>June 22, 2026</w:t>
              </w:r>
            </w:hyperlink>
            <w:r>
              <w:rPr>
                <w:rFonts w:ascii="Times New Roman" w:hAnsi="Times New Roman"/>
                <w:caps w:val="false"/>
                <w:smallCaps w:val="false"/>
                <w:sz w:val="20"/>
              </w:rPr>
              <w:t>;</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description of our common stock included in the description of securities filed as </w:t>
            </w:r>
            <w:hyperlink r:id="rId15">
              <w:r>
                <w:rPr>
                  <w:rStyle w:val="InternetLink"/>
                  <w:rFonts w:ascii="Times New Roman" w:hAnsi="Times New Roman"/>
                  <w:caps w:val="false"/>
                  <w:smallCaps w:val="false"/>
                  <w:sz w:val="20"/>
                </w:rPr>
                <w:t>Exhibit 4.6</w:t>
              </w:r>
            </w:hyperlink>
            <w:r>
              <w:rPr>
                <w:rFonts w:ascii="Times New Roman" w:hAnsi="Times New Roman"/>
                <w:caps w:val="false"/>
                <w:smallCaps w:val="false"/>
                <w:sz w:val="20"/>
              </w:rPr>
              <w:t xml:space="preserve"> to our Annual Report on Form 10-K for the year ended December 31, 2025, filed with the SEC on March 13, 2026, as such description has been amended, and any amendment or report the Registrant may file with the SEC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all documents subsequently filed by us pursuant to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may request a free copy of any or all of the documents incorporated by reference in this prospectus by writing or telephoning us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CervoMed Inc.</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20 Park Plaza, Suite 424</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Boston, Massachusetts 02116</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(617) 744-4400</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may also access these documents on our website, </w:t>
      </w:r>
      <w:r>
        <w:rPr>
          <w:rFonts w:ascii="Times New Roman" w:hAnsi="Times New Roman"/>
          <w:i/>
          <w:caps w:val="false"/>
          <w:smallCaps w:val="false"/>
          <w:sz w:val="20"/>
        </w:rPr>
        <w:t>www.cervomed.com</w:t>
      </w:r>
      <w:r>
        <w:rPr>
          <w:rFonts w:ascii="Times New Roman" w:hAnsi="Times New Roman"/>
          <w:caps w:val="false"/>
          <w:smallCaps w:val="false"/>
          <w:sz w:val="20"/>
        </w:rPr>
        <w:t>. The information contained on, or that can be accessed through, our website is not a part of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0025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000250" cy="5238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CERVOMED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10,081,131 Shares of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 R O S P E C T U 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JULY 10,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053691/000143774926008259/crvo20251231_10k.htm" TargetMode="External"/><Relationship Id="rId4" Type="http://schemas.openxmlformats.org/officeDocument/2006/relationships/hyperlink" Target="http://www.sec.gov/ix?doc=/Archives/edgar/data/0001053691/000143774926017236/crvo20260331c_10q.htm" TargetMode="External"/><Relationship Id="rId5" Type="http://schemas.openxmlformats.org/officeDocument/2006/relationships/hyperlink" Target="http://www.sec.gov/ix?doc=/Archives/edgar/data/0001053691/000143774926014032/crvo20260428_def14a.htm" TargetMode="External"/><Relationship Id="rId6" Type="http://schemas.openxmlformats.org/officeDocument/2006/relationships/hyperlink" Target="http://www.sec.gov/ix?doc=/Archives/edgar/data/0001053691/000143774926004555/crvo20260218_8k.htm" TargetMode="External"/><Relationship Id="rId7" Type="http://schemas.openxmlformats.org/officeDocument/2006/relationships/hyperlink" Target="http://www.sec.gov/ix?doc=/Archives/edgar/data/0001053691/000143774926006911/crvo20260304_8k.htm" TargetMode="External"/><Relationship Id="rId8" Type="http://schemas.openxmlformats.org/officeDocument/2006/relationships/hyperlink" Target="http://www.sec.gov/ix?doc=/Archives/edgar/data/0001053691/000143774926009081/crvo20260319_8k.htm" TargetMode="External"/><Relationship Id="rId9" Type="http://schemas.openxmlformats.org/officeDocument/2006/relationships/hyperlink" Target="http://www.sec.gov/ix?doc=/Archives/edgar/data/0001053691/000143774926013037/crvo20260422_8k.htm" TargetMode="External"/><Relationship Id="rId10" Type="http://schemas.openxmlformats.org/officeDocument/2006/relationships/hyperlink" Target="http://www.sec.gov/ix?doc=/Archives/edgar/data/0001053691/000143774926019909/crvo20260609_8k.htm" TargetMode="External"/><Relationship Id="rId11" Type="http://schemas.openxmlformats.org/officeDocument/2006/relationships/hyperlink" Target="http://www.sec.gov/ix?doc=/Archives/edgar/data/0001053691/000143774926020080/crvo20260610_8k.htm" TargetMode="External"/><Relationship Id="rId12" Type="http://schemas.openxmlformats.org/officeDocument/2006/relationships/hyperlink" Target="http://www.sec.gov/ix?doc=/Archives/edgar/data/0001053691/000143774926021038/crvo20260618c_8k.htm" TargetMode="External"/><Relationship Id="rId13" Type="http://schemas.openxmlformats.org/officeDocument/2006/relationships/hyperlink" Target="http://www.sec.gov/ix?doc=/Archives/edgar/data/0001053691/000143774926021208/crvo20260618_8k.htm" TargetMode="External"/><Relationship Id="rId14" Type="http://schemas.openxmlformats.org/officeDocument/2006/relationships/hyperlink" Target="http://www.sec.gov/ix?doc=/Archives/edgar/data/0001053691/000143774926021309/crvo20260622_8k.htm" TargetMode="External"/><Relationship Id="rId15" Type="http://schemas.openxmlformats.org/officeDocument/2006/relationships/hyperlink" Target="http://www.sec.gov/Archives/edgar/data/1053691/000143774924010064/ex_643086.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8772</Words>
  <Characters>46775</Characters>
  <CharactersWithSpaces>55603</CharactersWithSpaces>
  <Paragraphs>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