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CervoMed Inc.</w:t>
      </w:r>
    </w:p>
    <w:p>
      <w:pPr>
        <w:spacing w:after="0" w:line="5" w:lineRule="exact"/>
        <w:rPr>
          <w:sz w:val="24"/>
          <w:szCs w:val="24"/>
          <w:color w:val="auto"/>
        </w:rPr>
      </w:pPr>
    </w:p>
    <w:tbl>
      <w:tblPr>
        <w:tblLayout w:type="fixed"/>
        <w:tblInd w:w="98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54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860" w:type="dxa"/>
            <w:vAlign w:val="bottom"/>
          </w:tcPr>
          <w:p>
            <w:pPr>
              <w:spacing w:after="0"/>
              <w:rPr>
                <w:sz w:val="16"/>
                <w:szCs w:val="16"/>
                <w:color w:val="auto"/>
              </w:rPr>
            </w:pPr>
          </w:p>
        </w:tc>
      </w:tr>
      <w:tr>
        <w:trPr>
          <w:trHeight w:val="212"/>
        </w:trPr>
        <w:tc>
          <w:tcPr>
            <w:tcW w:w="1740" w:type="dxa"/>
            <w:vAlign w:val="bottom"/>
          </w:tcPr>
          <w:p>
            <w:pPr>
              <w:spacing w:after="0"/>
              <w:rPr>
                <w:sz w:val="18"/>
                <w:szCs w:val="18"/>
                <w:color w:val="auto"/>
              </w:rPr>
            </w:pPr>
          </w:p>
        </w:tc>
        <w:tc>
          <w:tcPr>
            <w:tcW w:w="542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860" w:type="dxa"/>
            <w:vAlign w:val="bottom"/>
          </w:tcPr>
          <w:p>
            <w:pPr>
              <w:spacing w:after="0"/>
              <w:rPr>
                <w:sz w:val="18"/>
                <w:szCs w:val="18"/>
                <w:color w:val="auto"/>
              </w:rPr>
            </w:pPr>
          </w:p>
        </w:tc>
      </w:tr>
      <w:tr>
        <w:trPr>
          <w:trHeight w:val="214"/>
        </w:trPr>
        <w:tc>
          <w:tcPr>
            <w:tcW w:w="174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9"/>
              </w:rPr>
              <w:t>001-37942</w:t>
            </w: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30-0645032</w:t>
            </w:r>
          </w:p>
        </w:tc>
      </w:tr>
      <w:tr>
        <w:trPr>
          <w:trHeight w:val="148"/>
        </w:trPr>
        <w:tc>
          <w:tcPr>
            <w:tcW w:w="17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20" w:type="dxa"/>
            <w:vAlign w:val="bottom"/>
          </w:tcPr>
          <w:p>
            <w:pPr>
              <w:jc w:val="center"/>
              <w:ind w:left="336"/>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60" w:type="dxa"/>
            <w:vAlign w:val="bottom"/>
          </w:tcPr>
          <w:p>
            <w:pPr>
              <w:jc w:val="center"/>
              <w:ind w:left="6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2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60" w:type="dxa"/>
            <w:vAlign w:val="bottom"/>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1740" w:type="dxa"/>
            <w:vAlign w:val="bottom"/>
          </w:tcPr>
          <w:p>
            <w:pPr>
              <w:spacing w:after="0"/>
              <w:rPr>
                <w:sz w:val="24"/>
                <w:szCs w:val="24"/>
                <w:color w:val="auto"/>
              </w:rPr>
            </w:pPr>
          </w:p>
        </w:tc>
        <w:tc>
          <w:tcPr>
            <w:tcW w:w="5420" w:type="dxa"/>
            <w:vAlign w:val="bottom"/>
          </w:tcPr>
          <w:p>
            <w:pPr>
              <w:jc w:val="center"/>
              <w:ind w:right="3336"/>
              <w:spacing w:after="0"/>
              <w:rPr>
                <w:sz w:val="20"/>
                <w:szCs w:val="20"/>
                <w:color w:val="auto"/>
              </w:rPr>
            </w:pPr>
            <w:r>
              <w:rPr>
                <w:rFonts w:ascii="Times New Roman" w:cs="Times New Roman" w:eastAsia="Times New Roman" w:hAnsi="Times New Roman"/>
                <w:sz w:val="18"/>
                <w:szCs w:val="18"/>
                <w:b w:val="1"/>
                <w:bCs w:val="1"/>
                <w:color w:val="auto"/>
              </w:rPr>
              <w:t>20 Park Plaza, Suite 424</w:t>
            </w:r>
          </w:p>
        </w:tc>
        <w:tc>
          <w:tcPr>
            <w:tcW w:w="1860" w:type="dxa"/>
            <w:vAlign w:val="bottom"/>
          </w:tcPr>
          <w:p>
            <w:pPr>
              <w:spacing w:after="0"/>
              <w:rPr>
                <w:sz w:val="24"/>
                <w:szCs w:val="24"/>
                <w:color w:val="auto"/>
              </w:rPr>
            </w:pPr>
          </w:p>
        </w:tc>
      </w:tr>
      <w:tr>
        <w:trPr>
          <w:trHeight w:val="214"/>
        </w:trPr>
        <w:tc>
          <w:tcPr>
            <w:tcW w:w="1740" w:type="dxa"/>
            <w:vAlign w:val="bottom"/>
          </w:tcPr>
          <w:p>
            <w:pPr>
              <w:spacing w:after="0"/>
              <w:rPr>
                <w:sz w:val="18"/>
                <w:szCs w:val="18"/>
                <w:color w:val="auto"/>
              </w:rPr>
            </w:pPr>
          </w:p>
        </w:tc>
        <w:tc>
          <w:tcPr>
            <w:tcW w:w="5420" w:type="dxa"/>
            <w:vAlign w:val="bottom"/>
          </w:tcPr>
          <w:p>
            <w:pPr>
              <w:jc w:val="center"/>
              <w:ind w:right="3336"/>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18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190"/>
        </w:trPr>
        <w:tc>
          <w:tcPr>
            <w:tcW w:w="7160" w:type="dxa"/>
            <w:vAlign w:val="bottom"/>
            <w:gridSpan w:val="2"/>
          </w:tcPr>
          <w:p>
            <w:pPr>
              <w:jc w:val="center"/>
              <w:ind w:right="15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60" w:type="dxa"/>
            <w:vAlign w:val="bottom"/>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(617) 744-4400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167640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CRVO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 w:name="page2"/>
    <w:bookmarkEnd w:id="1"/>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On June 9, 2026, CervoMed Inc. (the “Company”) entered into a securities purchase agreement (the “Purchase Agreement”) with certain accredited investors named therein (each, an “Investor” and collectively, the “Investors”), for the private placement (the “Private Placement”) of an aggregate of 3,360,377 units (the “Units”), each Unit comprised of (i) (A) one share of the Company’s common stock, par value $0.001 per share (the “Common Stock”), or (B) one pre-funded warrant to purchase one share of Common Stock (the “Pre-Funded Warrants”), and, in each case, (ii) one Series B warrant to purchase one share of Common Stock or a pre-funded warrant to purchase one share of Common Stock (each, a “Series B Warrant”), and (iii) one Series C warrant to purchase one share of Common Stock or a pre-funded warrant to purchase one share of Common Stock (each, a “Series C Warrant”, and together with the Series B Warrants, the “Warrants”) (the shares of Common Stock issuable upon exercise of the Pre-Funded Warrants and Warrants, the “Warrant Shares”). A Unit comprised of one share of Common Stock, one Series B Warrant and one Series C Warrant shall have a purchase price of $3.14 and a Unit comprised of one Pre-Funded Warrant, one Series B Warrant and one Series C Warrant shall have a purchase price of $3.139. Joshua Boger, Ph.D., the Chair of the Board of Directors of the Company, and trusts related to John Alam, M.D., the Chief Executive Officer and a Director of the Company, and Sylvie Grégoire, PharmD, a Director of the Company, are participating in the Private Placement for an aggregate of 1,369,426 Units.</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gross proceeds for the Private Placement are expected to be approximately $10.5 million, before deducting placement agent fees and other expenses, and approximately up to an additional $21.7 million in gross proceeds if the Warrants are fully exercised for cash. The closing of the Private Placement is expected to occur on or about June 11, 2026, subject to customary closing conditions. The Private Placement is being conducted in accordance with applicable rules of The Nasdaq Stock Market LLC.</w:t>
      </w:r>
    </w:p>
    <w:p>
      <w:pPr>
        <w:spacing w:after="0" w:line="180" w:lineRule="exact"/>
        <w:rPr>
          <w:sz w:val="20"/>
          <w:szCs w:val="20"/>
          <w:color w:val="auto"/>
        </w:rPr>
      </w:pPr>
    </w:p>
    <w:p>
      <w:pPr>
        <w:ind w:right="360" w:firstLine="690"/>
        <w:spacing w:after="0" w:line="282" w:lineRule="auto"/>
        <w:rPr>
          <w:sz w:val="20"/>
          <w:szCs w:val="20"/>
          <w:color w:val="auto"/>
        </w:rPr>
      </w:pPr>
      <w:r>
        <w:rPr>
          <w:rFonts w:ascii="Times New Roman" w:cs="Times New Roman" w:eastAsia="Times New Roman" w:hAnsi="Times New Roman"/>
          <w:sz w:val="18"/>
          <w:szCs w:val="18"/>
          <w:color w:val="auto"/>
        </w:rPr>
        <w:t>The placement agents in the Private Placement are entitled to receive a portion of a combined fee equal to approximately 6% of the aggregate gross proceeds from the securities sold in the Private Placement, plus the reimbursement of certain expenses.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to use the net proceeds from the Private Placement to fund research and development of its clinical-stage product candidate, neflamapimod, working capital and general corporate purposes. The Company estimates, based on its current operating plan, that the net proceeds from the Private Placement, together with its current cash and cash equivalents (but excluding any additional proceeds that may be received upon the exercise of Series B Warrants or Series C Warrants), will be sufficient to fund its operations into the second quarter of 2027.</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Pre-Funded Warrant will have an exercise price of $0.001 per Warrant Share, will be immediately exercisable on the date of issuance and will not expire. Under the terms of the Pre-Funded Warrants, the Company may not effect the exercise of any portion of any Pre-Funded Warrant, and a holder will not have the right to exercise any portion of any Pre-Funded Warrant, which, upon giving effect to such exercise, would cause a holder (together with its affiliates) to own more than a specified beneficial ownership limitation of 4.99%, 9.99% or 19.99% (as selected by such holder prior to the issuance of the Pre-Funded Warrant) of the number of shares of Common Stock outstanding immediately after giving effect to such exercise, as such percentage ownership is determined in accordance with the terms of the Pre-Funded Warrants. However, any holder may increase or decrease such percentage to any other percentage not in excess of 19.99%, provided that any increase in such percentage shall not be effective until 61 days after such notice is delivered to the Company.</w:t>
      </w:r>
    </w:p>
    <w:p>
      <w:pPr>
        <w:spacing w:after="0" w:line="192"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The Series B Warrants shall have an exercise price equal to $3.32 per Warrant Share or $3.319 per pre-funded warrant, will be exercisable immediately and will expire five years from the issuance date of the Series B Warrant. Under the terms of the Series B Warrants, the Company may not effect the exercise of any portion of any Series B Warrant, and a holder will not have the right to exercise any portion of any Series B Warrant, which, upon giving effect to such exercise, would cause a holder (together with its affiliates) to own more than a specified beneficial ownership limitation of either</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4.99%, 9.99% or 19.99% (as selected by such holder prior to the issuance of the Series B Warrant) of the number of shares of Common Stock outstanding immediately after giving effect to such exercise, as such percentage ownership is determined in accordance with the terms of the Series B Warrants. However, any holder may increase or decrease such percentage to any other percentage not in excess of 19.99%, provided that any increase in such percentage shall not be effective until 61 days after such notice is delivered to the Company. To the extent that exercise of the Series B Warrants will result in a holder thereof to beneficially own shares of Common Stock above such ownership limitations, the holder may exercise its Series B Warrants for pre-funded warrants to purchase shares of Common Stock. Such pre-funded warrants will have terms substantially similar to the Pre-Funded Warrants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Series C Warrants shall have an exercise price equal to $3.14 per Warrant Share or $3.139 per pre-funded warrant, will be exercisable immediately and will expire twelve (12) months from the issuance date of the Series C Warrant. Under the terms of the Series C Warrants, the Company may not effect the exercise of any portion of any Series C Warrant, and a holder will not have the right to exercise any portion of any Series C Warrant, which, upon giving effect to such exercise, would cause a holder (together with its affiliates) to own more than a specified beneficial ownership limitation of either 4.99%, 9.99% or 19.99% (as selected by such holder prior to the issuance of the Series C Warrant) of the number of shares of Common Stock outstanding immediately after giving effect to such exercise, as such percentage ownership is determined in accordance with the terms of the Series C Warrants. However, any holder may increase or decrease such percentage to any other percentage not in excess of 19.99%, provided that any increase in such percentage shall not be effective until 61 days after such notice is delivered to the Company. To the extent that exercise of the Series C Warrants will result in a holder thereof to beneficially own shares of Common Stock above such ownership limitations, the holder may exercise its Series C Warrants for pre-funded warrants to purchase shares of Common Stock. Such pre-funded warrants will have terms substantially similar to the Pre-Funded Warrants described above.</w:t>
      </w:r>
    </w:p>
    <w:p>
      <w:pPr>
        <w:spacing w:after="0" w:line="19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Warrant Shares will be subject to appropriate adjustment in the event of certain stock dividends and distributions, stock splits, stock combinations, reclassifications or similar events affecting the Common Stock.</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event of certain fundamental transactions (as described in the respective warrants), a holder of Pre-Funded Warrants, Series B Warrants or Series C Warrants, respectively, will have the right to receive, upon exercise of the Pre-Funded Warrants, Series B Warrants or Series C Warrants, respectively, the same amount and kind of securities, cash or property that such holder would have received had they exercised in full the Pre-Funded Warrants, Series B Warrants or Series C Warrants, respectively, immediately prior to such fundamental transaction without regard to any limitations on exercise contained in the Pre-Funded Warrants, Series B Warrants or Series C Warrants, respectively.</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the Company agreed to file a registration statement with the U.S. Securities and Exchange Commission (the “SEC”) within 45 days after the closing of the Private Placement (subject to certain exceptions) for purposes of registering the resale of the shares of Common Stock and the Warrant Shares, to use its reasonable best efforts to have such registration statement declared effective within the time period set forth in the Purchase Agreement, and to keep such registration statement effective until the earliest of (i) the time as all of the shares of Common Stock and Warrant Shares purchased by the Investors pursuant to the terms of the Purchase Agreement have been sold or otherwise transferred by the holder thereof pursuant to and in a manner contemplated by the registration statement, (ii) such time as such shares of Common Stock or Warrant Shares are sold pursuant to Rule 144 under circumstances in which any legend borne by such security relating to restrictions on transferability thereof, under the Securities Act of 1933, as amended (the “Securities Act”), or otherwise, is removed by the Company, or (iii) such time as the shares of Common Stock and Warrant Shares become eligible for resale by non-affiliates without any volume limitations or other restrictions pursuant to Rule 144 under the Securities Act or any other rule of similar effect.</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that were made solely for the benefit of the parties to the Purchase Agreement. Such representations, warranties and covenants (i) are intended as a way of allocating risk between the parties to the Purchase Agreement and not as statements of fact and (ii) may apply standards of materiality in a way that is different from what may be viewed as material by stockholders of, or other investors in, the Company. Accordingly, the Purchase Agreement is included with this filing only to provide investors with information regarding the terms of the transaction and not to provide investors with any other factual information regarding the Company. 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Purchase Agreement, which subsequent information may or may not be fully reflected in public disclosures. Additionally, the Purchase Agreement contains customary indemnification obligations of the Company and the Investors, including for liabilities under the Securities Act, and other obligations of the parties.</w:t>
      </w:r>
    </w:p>
    <w:p>
      <w:pPr>
        <w:spacing w:after="0" w:line="1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Private Placement is exempt from the registration requirements of the Securities Act pursuant to the exemption for transactions by an issuer not involving any public offering under Section 4(a)(2) of the Securities Act and in reliance on similar exemptions under applicable state laws. The Investors represented that they are accredited investors within the meaning of rules promulgated under the Securities Act and were acquiring the securities for investment only and with no present intention of distributing any of such securities or any arrangement or understanding regarding the distribution thereof. The securities were offered without any general solicitation by the Company or its representatives. The securities sold and issued in the Private Placement will not be registered under the Securities Act or any state securities laws and may not be offered or sold in the United States absent registration with the SEC or an applicable exemption from the registration requirements.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Purchase Agreement, Pre-Funded Warrant, Series B Warrant and Series C Warrant do not purport to be complete and are qualified in their entirety by reference to the form of Purchase Agreement, form of Pre-Funded Warrant, form of Series B Warrant and form of Series C Warrant, which are filed as Exhibit 10.1, Exhibit 4.1, Exhibit 4.2 and Exhibit 4.3, respectively,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disclosures set forth in Item 1.01 above are incorporated by reference into this Item 3.02.</w:t>
      </w:r>
    </w:p>
    <w:p>
      <w:pPr>
        <w:spacing w:after="0" w:line="22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June 10, 2026, the Company issued a press release announcing that it has entered into the Purchase Agreement and provided other business updates. A copy of the press release is attached as Exhibit 99.1 to this Current Report on Form 8-K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concerning the business, clinical studies, development plans, financial position and related matters of the Company has been made available on our website, www.cervomed.com, under the heading, “Investors – Events and Presentations.” Representatives of the Company may use this presentation, in whole or in part, and possibly with non-material modifications, periodically in connection with conferences, meetings, and presentations to investors, analysts and others.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contained in the presentation is summary information that is intended to be considered in the context of the Company’s filings with the SEC and other public announcements that the Company may make, by press release or otherwise, from time to time. The Company undertakes no duty or obligation to publicly update or revise the information contained in the presentation except as required by applicable law, although the Company may do so from time to time as its management believes is warranted. Any such updating may be made through the filing of other reports or documents with the SEC, through press releases, or through other public disclosure. The Company makes no admission or representation as to the materiality of any information in the presentation or otherwise contained in Item 7.01 of this Current Report on Form 8-K.</w:t>
      </w:r>
    </w:p>
    <w:p>
      <w:pPr>
        <w:spacing w:after="0" w:line="187"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in such filing.</w:t>
      </w:r>
    </w:p>
    <w:p>
      <w:pPr>
        <w:spacing w:after="0" w:line="15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“Strategic Pipeline Priorities” in the Company’s June 10, 2026 press release attached as Exhibit 99.1 to this Current Report on Form 8-K is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 and the press release attached as Exhibit 99.1 hereto, this Current Report on Form 8-K and the press release contain forward-looking statements which involve certain risks and uncertainties that could cause actual results to differ materially from those expressed or implied by these statements. Please refer to the cautionary note in the press release attached as Exhibit 99.1 hereto regarding these forward-looking statements.</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196"/>
        </w:trPr>
        <w:tc>
          <w:tcPr>
            <w:tcW w:w="1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Series B Warrant</w:t>
            </w:r>
          </w:p>
        </w:tc>
        <w:tc>
          <w:tcPr>
            <w:tcW w:w="220" w:type="dxa"/>
            <w:vAlign w:val="bottom"/>
            <w:tcBorders>
              <w:top w:val="single" w:sz="8" w:color="0000EE"/>
            </w:tcBorders>
          </w:tcPr>
          <w:p>
            <w:pPr>
              <w:spacing w:after="0"/>
              <w:rPr>
                <w:sz w:val="17"/>
                <w:szCs w:val="17"/>
                <w:color w:val="auto"/>
              </w:rPr>
            </w:pPr>
          </w:p>
        </w:tc>
        <w:tc>
          <w:tcPr>
            <w:tcW w:w="7380" w:type="dxa"/>
            <w:vAlign w:val="bottom"/>
            <w:gridSpan w:val="3"/>
          </w:tcPr>
          <w:p>
            <w:pPr>
              <w:spacing w:after="0"/>
              <w:rPr>
                <w:sz w:val="17"/>
                <w:szCs w:val="17"/>
                <w:color w:val="auto"/>
              </w:rPr>
            </w:pPr>
          </w:p>
        </w:tc>
      </w:tr>
      <w:tr>
        <w:trPr>
          <w:trHeight w:val="196"/>
        </w:trPr>
        <w:tc>
          <w:tcPr>
            <w:tcW w:w="1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Series C Warrant</w:t>
            </w:r>
          </w:p>
        </w:tc>
        <w:tc>
          <w:tcPr>
            <w:tcW w:w="7600" w:type="dxa"/>
            <w:vAlign w:val="bottom"/>
            <w:gridSpan w:val="4"/>
          </w:tcPr>
          <w:p>
            <w:pPr>
              <w:spacing w:after="0"/>
              <w:rPr>
                <w:sz w:val="17"/>
                <w:szCs w:val="17"/>
                <w:color w:val="auto"/>
              </w:rPr>
            </w:pPr>
          </w:p>
        </w:tc>
      </w:tr>
      <w:tr>
        <w:trPr>
          <w:trHeight w:val="196"/>
        </w:trPr>
        <w:tc>
          <w:tcPr>
            <w:tcW w:w="1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Securities Purchase Agreement, dated June 9, 2026, by and between CervoMed Inc. and each of the Investors party</w:t>
            </w:r>
          </w:p>
        </w:tc>
      </w:tr>
      <w:tr>
        <w:trPr>
          <w:trHeight w:val="196"/>
        </w:trPr>
        <w:tc>
          <w:tcPr>
            <w:tcW w:w="178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thereto</w:t>
            </w:r>
          </w:p>
        </w:tc>
        <w:tc>
          <w:tcPr>
            <w:tcW w:w="8420" w:type="dxa"/>
            <w:vAlign w:val="bottom"/>
            <w:tcBorders>
              <w:top w:val="single" w:sz="8" w:color="0000EE"/>
            </w:tcBorders>
            <w:gridSpan w:val="4"/>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9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June 10, 2026</w:t>
            </w:r>
          </w:p>
        </w:tc>
      </w:tr>
      <w:tr>
        <w:trPr>
          <w:trHeight w:val="20"/>
        </w:trPr>
        <w:tc>
          <w:tcPr>
            <w:tcW w:w="178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23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60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b w:val="1"/>
          <w:bCs w:val="1"/>
          <w:color w:val="auto"/>
        </w:rPr>
        <w:t>CervoMed Inc.</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William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Name:William Elder</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 &amp; General Counsel</w:t>
      </w:r>
    </w:p>
    <w:p>
      <w:pPr>
        <w:sectPr>
          <w:pgSz w:w="11900" w:h="16838" w:orient="portrait"/>
          <w:cols w:equalWidth="0" w:num="1">
            <w:col w:w="10880"/>
          </w:cols>
          <w:pgMar w:left="320" w:top="333" w:right="69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 SECURITIES EVIDENCED BY THIS CERTIFICATE HAVE NOT BEEN REGISTERED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OR ANY OTHER APPLICABLE SECURITIES LAWS AND HAVE BEEN ISSUED IN RELIANCE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Number of Shares: [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7"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8"/>
          <w:szCs w:val="18"/>
          <w:color w:val="auto"/>
        </w:rPr>
        <w:t>Warrant No. [ • ]</w:t>
      </w:r>
      <w:r>
        <w:rPr>
          <w:sz w:val="20"/>
          <w:szCs w:val="20"/>
          <w:color w:val="auto"/>
        </w:rPr>
        <w:tab/>
      </w:r>
      <w:r>
        <w:rPr>
          <w:rFonts w:ascii="Times New Roman" w:cs="Times New Roman" w:eastAsia="Times New Roman" w:hAnsi="Times New Roman"/>
          <w:sz w:val="18"/>
          <w:szCs w:val="18"/>
          <w:color w:val="auto"/>
        </w:rPr>
        <w:t>Original Issue Date: [ • ], 2026</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CervoMed Inc., </w:t>
      </w: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are hereby acknowledged, [ • ] or its registered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an exercise price per share equal to $0.001 per share (as adjusted from time to time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Capital Market.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xml:space="preserve"> means the standard settlement period, expressed in a number of Trading Days, for the Principal Trading Market with respect to the Common Stock that is in effect on the date of delivery of an applicable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jc w:val="both"/>
        <w:ind w:firstLine="818"/>
        <w:spacing w:after="0" w:line="259" w:lineRule="auto"/>
        <w:tabs>
          <w:tab w:leader="none" w:pos="160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b w:val="1"/>
          <w:bCs w:val="1"/>
          <w:color w:val="auto"/>
        </w:rPr>
      </w:pPr>
    </w:p>
    <w:p>
      <w:pPr>
        <w:jc w:val="both"/>
        <w:ind w:firstLine="818"/>
        <w:spacing w:after="0" w:line="254" w:lineRule="auto"/>
        <w:tabs>
          <w:tab w:leader="none" w:pos="149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b w:val="1"/>
          <w:bCs w:val="1"/>
          <w:color w:val="auto"/>
        </w:rPr>
      </w:pPr>
    </w:p>
    <w:p>
      <w:pPr>
        <w:ind w:left="1360" w:hanging="542"/>
        <w:spacing w:after="0"/>
        <w:tabs>
          <w:tab w:leader="none" w:pos="1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73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1352" w:hanging="542"/>
        <w:spacing w:after="0"/>
        <w:tabs>
          <w:tab w:leader="none" w:pos="135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1304"/>
        <w:spacing w:after="0" w:line="252" w:lineRule="auto"/>
        <w:tabs>
          <w:tab w:leader="none" w:pos="169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7"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693"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w:t>
      </w:r>
    </w:p>
    <w:p>
      <w:pPr>
        <w:spacing w:after="0" w:line="5"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pacing w:after="0" w:line="186"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7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9" w:name="page10"/>
    <w:bookmarkEnd w:id="9"/>
    <w:p>
      <w:pPr>
        <w:jc w:val="both"/>
        <w:ind w:left="-656" w:firstLine="656"/>
        <w:spacing w:after="0" w:line="257" w:lineRule="auto"/>
        <w:tabs>
          <w:tab w:leader="none" w:pos="30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the Warrant Shares upon exercise of this Warrant shall be made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b w:val="1"/>
          <w:bCs w:val="1"/>
          <w:color w:val="auto"/>
        </w:rPr>
      </w:pPr>
    </w:p>
    <w:p>
      <w:pPr>
        <w:jc w:val="both"/>
        <w:ind w:left="-656" w:firstLine="656"/>
        <w:spacing w:after="0" w:line="259" w:lineRule="auto"/>
        <w:tabs>
          <w:tab w:leader="none" w:pos="33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jc w:val="both"/>
        <w:ind w:left="-656" w:firstLine="656"/>
        <w:spacing w:after="0" w:line="254" w:lineRule="auto"/>
        <w:tabs>
          <w:tab w:leader="none" w:pos="40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200660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0" w:name="page11"/>
    <w:bookmarkEnd w:id="10"/>
    <w:p>
      <w:pPr>
        <w:ind w:left="-656" w:firstLine="656"/>
        <w:spacing w:after="0" w:line="286" w:lineRule="auto"/>
        <w:tabs>
          <w:tab w:leader="none" w:pos="36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left="-576" w:firstLine="972"/>
        <w:spacing w:after="0" w:line="253" w:lineRule="auto"/>
        <w:tabs>
          <w:tab w:leader="none" w:pos="8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9" w:lineRule="exact"/>
        <w:rPr>
          <w:rFonts w:ascii="Times New Roman" w:cs="Times New Roman" w:eastAsia="Times New Roman" w:hAnsi="Times New Roman"/>
          <w:sz w:val="18"/>
          <w:szCs w:val="18"/>
          <w:color w:val="auto"/>
        </w:rPr>
      </w:pPr>
    </w:p>
    <w:p>
      <w:pPr>
        <w:jc w:val="both"/>
        <w:ind w:left="-576" w:firstLine="972"/>
        <w:spacing w:after="0" w:line="252" w:lineRule="auto"/>
        <w:tabs>
          <w:tab w:leader="none" w:pos="8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203200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1" w:name="page12"/>
    <w:bookmarkEnd w:id="11"/>
    <w:p>
      <w:pPr>
        <w:jc w:val="both"/>
        <w:ind w:left="-972" w:firstLine="972"/>
        <w:spacing w:after="0" w:line="252" w:lineRule="auto"/>
        <w:tabs>
          <w:tab w:leader="none" w:pos="4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jc w:val="both"/>
        <w:ind w:left="-972" w:firstLine="972"/>
        <w:spacing w:after="0" w:line="251" w:lineRule="auto"/>
        <w:tabs>
          <w:tab w:leader="none" w:pos="4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210820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337" w:right="339" w:bottom="1440" w:gutter="0" w:footer="0" w:header="0"/>
        </w:sectPr>
      </w:pPr>
    </w:p>
    <w:bookmarkStart w:id="12" w:name="page13"/>
    <w:bookmarkEnd w:id="12"/>
    <w:p>
      <w:pPr>
        <w:jc w:val="both"/>
        <w:ind w:firstLine="1242"/>
        <w:spacing w:after="0" w:line="261" w:lineRule="auto"/>
        <w:tabs>
          <w:tab w:leader="none" w:pos="1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1700" w:hanging="458"/>
        <w:spacing w:after="0"/>
        <w:tabs>
          <w:tab w:leader="none" w:pos="17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jc w:val="both"/>
        <w:ind w:left="-80" w:firstLine="1304"/>
        <w:spacing w:after="0" w:line="256" w:lineRule="auto"/>
        <w:tabs>
          <w:tab w:leader="none" w:pos="16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jc w:val="both"/>
        <w:ind w:left="-80" w:firstLine="1304"/>
        <w:spacing w:after="0" w:line="253" w:lineRule="auto"/>
        <w:tabs>
          <w:tab w:leader="none" w:pos="16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(5)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200660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337" w:right="339" w:bottom="1440" w:gutter="0" w:footer="0" w:header="0"/>
        </w:sectPr>
      </w:pPr>
    </w:p>
    <w:bookmarkStart w:id="13" w:name="page14"/>
    <w:bookmarkEnd w:id="13"/>
    <w:p>
      <w:pPr>
        <w:jc w:val="both"/>
        <w:ind w:firstLine="890"/>
        <w:spacing w:after="0" w:line="268" w:lineRule="auto"/>
        <w:tabs>
          <w:tab w:leader="none" w:pos="15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left="972" w:hanging="396"/>
        <w:spacing w:after="0"/>
        <w:tabs>
          <w:tab w:leader="none" w:pos="972"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980"/>
        <w:spacing w:after="0" w:line="251" w:lineRule="auto"/>
        <w:tabs>
          <w:tab w:leader="none" w:pos="161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(1)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w:t>
      </w:r>
    </w:p>
    <w:p>
      <w:pPr>
        <w:spacing w:after="0" w:line="7"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and shall not negatively affect any partial exercise effected prior to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15" w:name="page16"/>
    <w:bookmarkEnd w:id="15"/>
    <w:p>
      <w:pPr>
        <w:jc w:val="both"/>
        <w:ind w:left="-728" w:firstLine="1304"/>
        <w:spacing w:after="0" w:line="253" w:lineRule="auto"/>
        <w:tabs>
          <w:tab w:leader="none" w:pos="12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7" w:lineRule="exact"/>
        <w:rPr>
          <w:rFonts w:ascii="Times New Roman" w:cs="Times New Roman" w:eastAsia="Times New Roman" w:hAnsi="Times New Roman"/>
          <w:sz w:val="18"/>
          <w:szCs w:val="18"/>
          <w:color w:val="auto"/>
        </w:rPr>
      </w:pPr>
    </w:p>
    <w:p>
      <w:pPr>
        <w:jc w:val="both"/>
        <w:ind w:left="-728" w:firstLine="728"/>
        <w:spacing w:after="0" w:line="268" w:lineRule="auto"/>
        <w:tabs>
          <w:tab w:leader="none" w:pos="39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0" w:lineRule="exact"/>
        <w:rPr>
          <w:rFonts w:ascii="Times New Roman" w:cs="Times New Roman" w:eastAsia="Times New Roman" w:hAnsi="Times New Roman"/>
          <w:sz w:val="18"/>
          <w:szCs w:val="18"/>
          <w:b w:val="1"/>
          <w:bCs w:val="1"/>
          <w:color w:val="auto"/>
        </w:rPr>
      </w:pPr>
    </w:p>
    <w:p>
      <w:pPr>
        <w:jc w:val="both"/>
        <w:ind w:left="-728" w:firstLine="728"/>
        <w:spacing w:after="0" w:line="256" w:lineRule="auto"/>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2" w:lineRule="exact"/>
        <w:rPr>
          <w:rFonts w:ascii="Times New Roman" w:cs="Times New Roman" w:eastAsia="Times New Roman" w:hAnsi="Times New Roman"/>
          <w:sz w:val="18"/>
          <w:szCs w:val="18"/>
          <w:b w:val="1"/>
          <w:bCs w:val="1"/>
          <w:color w:val="auto"/>
        </w:rPr>
      </w:pPr>
    </w:p>
    <w:p>
      <w:pPr>
        <w:jc w:val="both"/>
        <w:ind w:left="-648" w:firstLine="648"/>
        <w:spacing w:after="0" w:line="257" w:lineRule="auto"/>
        <w:tabs>
          <w:tab w:leader="none" w:pos="43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thirty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198120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12"/>
          </w:cols>
          <w:pgMar w:left="1048" w:top="337" w:right="339" w:bottom="1440" w:gutter="0" w:footer="0" w:header="0"/>
        </w:sectPr>
      </w:pPr>
    </w:p>
    <w:bookmarkStart w:id="16" w:name="page17"/>
    <w:bookmarkEnd w:id="16"/>
    <w:p>
      <w:pPr>
        <w:ind w:left="412" w:hanging="412"/>
        <w:spacing w:after="0"/>
        <w:tabs>
          <w:tab w:leader="none" w:pos="4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48" w:firstLine="972"/>
        <w:spacing w:after="0" w:line="254" w:lineRule="auto"/>
        <w:tabs>
          <w:tab w:leader="none" w:pos="70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712" w:hanging="388"/>
        <w:spacing w:after="0"/>
        <w:tabs>
          <w:tab w:leader="none" w:pos="7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28" w:firstLine="2114"/>
        <w:spacing w:after="0" w:line="254" w:lineRule="auto"/>
        <w:tabs>
          <w:tab w:leader="none" w:pos="1875"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left="-728" w:firstLine="2114"/>
        <w:spacing w:after="0" w:line="266" w:lineRule="auto"/>
        <w:tabs>
          <w:tab w:leader="none" w:pos="2007"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jc w:val="both"/>
        <w:ind w:left="-648" w:firstLine="1296"/>
        <w:spacing w:after="0" w:line="256" w:lineRule="auto"/>
        <w:tabs>
          <w:tab w:leader="none" w:pos="105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jc w:val="both"/>
        <w:ind w:left="-648" w:firstLine="1296"/>
        <w:spacing w:after="0" w:line="266" w:lineRule="auto"/>
        <w:tabs>
          <w:tab w:leader="none" w:pos="106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191770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12"/>
          </w:cols>
          <w:pgMar w:left="1048" w:top="333" w:right="339" w:bottom="1440" w:gutter="0" w:footer="0" w:header="0"/>
        </w:sectPr>
      </w:pPr>
    </w:p>
    <w:bookmarkStart w:id="17" w:name="page18"/>
    <w:bookmarkEnd w:id="17"/>
    <w:p>
      <w:pPr>
        <w:ind w:left="1780" w:hanging="404"/>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7" w:lineRule="exact"/>
        <w:rPr>
          <w:sz w:val="20"/>
          <w:szCs w:val="20"/>
          <w:color w:val="auto"/>
        </w:rPr>
      </w:pPr>
    </w:p>
    <w:p>
      <w:pPr>
        <w:jc w:val="both"/>
        <w:ind w:left="80" w:firstLine="1296"/>
        <w:spacing w:after="0" w:line="252" w:lineRule="auto"/>
        <w:tabs>
          <w:tab w:leader="none" w:pos="18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w:t>
      </w:r>
    </w:p>
    <w:p>
      <w:pPr>
        <w:spacing w:after="0" w:line="197" w:lineRule="exact"/>
        <w:rPr>
          <w:rFonts w:ascii="Times New Roman" w:cs="Times New Roman" w:eastAsia="Times New Roman" w:hAnsi="Times New Roman"/>
          <w:sz w:val="18"/>
          <w:szCs w:val="18"/>
          <w:color w:val="auto"/>
        </w:rPr>
      </w:pPr>
    </w:p>
    <w:p>
      <w:pPr>
        <w:ind w:left="80" w:firstLine="1296"/>
        <w:spacing w:after="0" w:line="282" w:lineRule="auto"/>
        <w:tabs>
          <w:tab w:leader="none" w:pos="17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1780" w:hanging="386"/>
        <w:spacing w:after="0"/>
        <w:tabs>
          <w:tab w:leader="none" w:pos="17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ectPr>
          <w:pgSz w:w="11900" w:h="16838" w:orient="portrait"/>
          <w:cols w:equalWidth="0" w:num="1">
            <w:col w:w="10480"/>
          </w:cols>
          <w:pgMar w:left="980" w:top="337" w:right="439" w:bottom="1440" w:gutter="0" w:footer="0" w:header="0"/>
        </w:sectPr>
      </w:pPr>
    </w:p>
    <w:p>
      <w:pPr>
        <w:spacing w:after="0" w:line="23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b w:val="1"/>
          <w:bCs w:val="1"/>
          <w:color w:val="auto"/>
        </w:rPr>
        <w:t>CERVOMED INC.</w:t>
      </w:r>
    </w:p>
    <w:p>
      <w:pPr>
        <w:spacing w:after="0" w:line="2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494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211455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337" w:right="4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to purchase shares of Common Stock under the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is the Holder of Warrant No. [ • ] (the “Warrant”) issued by </w:t>
      </w:r>
      <w:r>
        <w:rPr>
          <w:rFonts w:ascii="Times New Roman" w:cs="Times New Roman" w:eastAsia="Times New Roman" w:hAnsi="Times New Roman"/>
          <w:sz w:val="18"/>
          <w:szCs w:val="18"/>
          <w:b w:val="1"/>
          <w:bCs w:val="1"/>
          <w:color w:val="auto"/>
        </w:rPr>
        <w:t>CERVOMED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2040" w:hanging="574"/>
        <w:spacing w:after="0"/>
        <w:tabs>
          <w:tab w:leader="none" w:pos="2040"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left="660" w:right="2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348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34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1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(Signature must conform in all respects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 name of Holder as specified on the face of the Warrant)</w:t>
      </w:r>
    </w:p>
    <w:p>
      <w:pPr>
        <w:sectPr>
          <w:pgSz w:w="11900" w:h="16838" w:orient="portrait"/>
          <w:cols w:equalWidth="0" w:num="1">
            <w:col w:w="11240"/>
          </w:cols>
          <w:pgMar w:left="320" w:top="333" w:right="339" w:bottom="1440" w:gutter="0" w:footer="0" w:header="0"/>
        </w:sectPr>
      </w:pPr>
    </w:p>
    <w:bookmarkStart w:id="20" w:name="page21"/>
    <w:bookmarkEnd w:id="20"/>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AND,</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B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WARRANT TO PURCHASE COMMON STOCK OR PRE-FUNDED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B-[_]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or Pre-Funded Warrants: [_]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2026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CervoMed Inc., a company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[HOLDER], the registered holder hereof 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cs="Times New Roman" w:eastAsia="Times New Roman" w:hAnsi="Times New Roman"/>
          <w:sz w:val="18"/>
          <w:szCs w:val="18"/>
          <w:b w:val="1"/>
          <w:bCs w:val="1"/>
          <w:i w:val="1"/>
          <w:iCs w:val="1"/>
          <w:color w:val="auto"/>
        </w:rPr>
        <w:t>Exercisability Period</w:t>
      </w:r>
      <w:r>
        <w:rPr>
          <w:rFonts w:ascii="Times New Roman" w:cs="Times New Roman" w:eastAsia="Times New Roman" w:hAnsi="Times New Roman"/>
          <w:sz w:val="18"/>
          <w:szCs w:val="18"/>
          <w:color w:val="auto"/>
        </w:rPr>
        <w:t>”), either (x) [______________ (_____________)] fully paid non-assessable shares of Common Stock (as defined below), subject to adjustment as provided herein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or in lieu of all or a portion of such Warrant Shares, (y) pre-funded warrants to purchase [______________ (_____________)] shares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Common Stock for a future exercise price of $0.001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such choice between Warrant Shares and Pre-Funded Warrants determined by the Maximum Percentage (as defined below). Except as otherwise defined herein, capitalized terms in this Series B Warrant to Purchase Common Stock or Pre-Funded Warrants (including any Series B Warrants to Purchase Common Stock or Pre-Funded Warrants issued in exchange, transfer or replacement hereof,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shall have the meanings set forth in Section 16. This Warrant is one of the Series B Warrants to Purchase Common Stock or Pre-Funded Warrants (the “</w:t>
      </w:r>
      <w:r>
        <w:rPr>
          <w:rFonts w:ascii="Times New Roman" w:cs="Times New Roman" w:eastAsia="Times New Roman" w:hAnsi="Times New Roman"/>
          <w:sz w:val="18"/>
          <w:szCs w:val="18"/>
          <w:b w:val="1"/>
          <w:bCs w:val="1"/>
          <w:i w:val="1"/>
          <w:iCs w:val="1"/>
          <w:color w:val="auto"/>
        </w:rPr>
        <w:t>Other Warrants</w:t>
      </w:r>
      <w:r>
        <w:rPr>
          <w:rFonts w:ascii="Times New Roman" w:cs="Times New Roman" w:eastAsia="Times New Roman" w:hAnsi="Times New Roman"/>
          <w:sz w:val="18"/>
          <w:szCs w:val="18"/>
          <w:color w:val="auto"/>
        </w:rPr>
        <w:t>”) issued pursuant to that certain Securities Purchase Agreement, dated as of June 9, 2026 (the “</w:t>
      </w:r>
      <w:r>
        <w:rPr>
          <w:rFonts w:ascii="Times New Roman" w:cs="Times New Roman" w:eastAsia="Times New Roman" w:hAnsi="Times New Roman"/>
          <w:sz w:val="18"/>
          <w:szCs w:val="18"/>
          <w:b w:val="1"/>
          <w:bCs w:val="1"/>
          <w:i w:val="1"/>
          <w:iCs w:val="1"/>
          <w:color w:val="auto"/>
        </w:rPr>
        <w:t>Subscription Date</w:t>
      </w:r>
      <w:r>
        <w:rPr>
          <w:rFonts w:ascii="Times New Roman" w:cs="Times New Roman" w:eastAsia="Times New Roman" w:hAnsi="Times New Roman"/>
          <w:sz w:val="18"/>
          <w:szCs w:val="18"/>
          <w:color w:val="auto"/>
        </w:rPr>
        <w:t>”), by and between the Company and the Purchasers on the signature pages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7" w:lineRule="auto"/>
        <w:tabs>
          <w:tab w:leader="none" w:pos="1419"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xml:space="preserve">. Subject to the terms and conditions hereof (including, without limitation, the limitations set forth in Section 1(e)), this Warrant may be exercised by the Holder at any time or times during the Exercisability Period, in whole or in part, by delivery (whether via electronic mail or otherwise) of a written notice,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of the Holder’s election to exercise this Warrant. Within one (1) Trading Day following the delivery of the Exercise Notice, the Holder shall make payment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cs="Times New Roman" w:eastAsia="Times New Roman" w:hAnsi="Times New Roman"/>
          <w:sz w:val="17"/>
          <w:szCs w:val="17"/>
          <w:b w:val="1"/>
          <w:bCs w:val="1"/>
          <w:i w:val="1"/>
          <w:iCs w:val="1"/>
          <w:color w:val="auto"/>
        </w:rPr>
        <w:t>Aggregate Exercise Price</w:t>
      </w:r>
      <w:r>
        <w:rPr>
          <w:rFonts w:ascii="Times New Roman" w:cs="Times New Roman" w:eastAsia="Times New Roman" w:hAnsi="Times New Roman"/>
          <w:sz w:val="17"/>
          <w:szCs w:val="17"/>
          <w:color w:val="auto"/>
        </w:rPr>
        <w:t>”) in cash by wire transfer of immediately available funds, or, if the provisions of Section 1(c) are applicable, by notifying the Company that this Warrant is being exercised pursuant to a Cashless Exercise (as defined in Section 1(c)).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or before the first (1st) Trading Day following the date on which the Holder has delivered the applicable Exercise Notice, the Company shall transmit by electronic mail an acknowledgment of confirmation of receipt of the Exercise Notice to the Holder and the Company’s transfer agent (the “</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So long as the Holder delivers the Aggregate Exercise Price (or notice of a Cashless Exercise, as applicable)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as applicable) on or prior to the first (1st) Trading Day following the date on which the Exercise Notice has been delivered to the Company, then on or prior to the first (1st) Trading Day following the date on which the Aggregate Exercise Price (or notice of a Cashless Exercise, as applicable) is delivered (such earlier date, or if later, the earliest day on which the Company is required to deliver Warrant Shares or Pre-Funded Warrants pursuant to this Section 1(a), the “</w:t>
      </w:r>
      <w:r>
        <w:rPr>
          <w:rFonts w:ascii="Times New Roman" w:cs="Times New Roman" w:eastAsia="Times New Roman" w:hAnsi="Times New Roman"/>
          <w:sz w:val="17"/>
          <w:szCs w:val="17"/>
          <w:b w:val="1"/>
          <w:bCs w:val="1"/>
          <w:i w:val="1"/>
          <w:iCs w:val="1"/>
          <w:color w:val="auto"/>
        </w:rPr>
        <w:t>Delivery Date</w:t>
      </w:r>
      <w:r>
        <w:rPr>
          <w:rFonts w:ascii="Times New Roman" w:cs="Times New Roman" w:eastAsia="Times New Roman" w:hAnsi="Times New Roman"/>
          <w:sz w:val="17"/>
          <w:szCs w:val="17"/>
          <w:color w:val="auto"/>
        </w:rPr>
        <w:t>”), the Company shall,</w:t>
      </w:r>
    </w:p>
    <w:p>
      <w:pPr>
        <w:spacing w:after="0" w:line="201" w:lineRule="exact"/>
        <w:rPr>
          <w:rFonts w:ascii="Times New Roman" w:cs="Times New Roman" w:eastAsia="Times New Roman" w:hAnsi="Times New Roman"/>
          <w:sz w:val="17"/>
          <w:szCs w:val="17"/>
          <w:color w:val="auto"/>
        </w:rPr>
      </w:pPr>
    </w:p>
    <w:p>
      <w:pPr>
        <w:jc w:val="both"/>
        <w:ind w:firstLine="8"/>
        <w:spacing w:after="0" w:line="250"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i w:val="1"/>
          <w:iCs w:val="1"/>
          <w:color w:val="auto"/>
        </w:rPr>
        <w:t>FAST</w:t>
      </w:r>
      <w:r>
        <w:rPr>
          <w:rFonts w:ascii="Times New Roman" w:cs="Times New Roman" w:eastAsia="Times New Roman" w:hAnsi="Times New Roman"/>
          <w:sz w:val="18"/>
          <w:szCs w:val="18"/>
          <w:color w:val="auto"/>
        </w:rPr>
        <w:t xml:space="preserve">”), credit such aggregate number of Warrant Shares or Pre-Funded Warrants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as elected by the Holder, a certificate or evidence of a credit of book entry shares, registered in the name of the Holder or its designee, for the number of Warrant Shares or Pre-Funded Warrants to which the Holder is entitled pursuant to such exercise. The Company shall be responsible for all fees and expenses of the Transfer Agent and all fees and expenses with respect to the issuance of Warrant Shares or Pre-Funded Warrants via DTC, if any. Upon delivery of the Exercise Notice, the Holder shall be deemed solely for purposes of Regulation SHO to have become the holder of record and beneficial owner of the Warrant Shares or Pre-Funded Warrants with respect to which this Warrant has been exercised, irrespective of the date such Warrant Shares or Pre-Funded Warrants are credited to the Holder’s DTC account or the date of delivery of the certificates evidencing such Warrant Shares or Pre-Funded Warrants, as the case may be, provided that payment of the Aggregate Exercise Price (other than in the case of a Cashless Exercise) is received on or prior to the first (1st) Trading Day following the date on which the Exercise Notice has been delivered to the Company.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deliver Warrant Shares or Pre-Funded Warrants with respect to an exercise prior to the Holder’s delivery of the Aggregate Exercise Price with respect to such exercise.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firstLine="1304"/>
        <w:spacing w:after="0" w:line="286" w:lineRule="auto"/>
        <w:tabs>
          <w:tab w:leader="none" w:pos="17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$3.32 per share for Warrant Shares and $3.319 per share for Pre-Funded Warrants, subject to adjustment as provided herein.</w:t>
      </w:r>
    </w:p>
    <w:p>
      <w:pPr>
        <w:spacing w:after="0" w:line="158" w:lineRule="exact"/>
        <w:rPr>
          <w:rFonts w:ascii="Times New Roman" w:cs="Times New Roman" w:eastAsia="Times New Roman" w:hAnsi="Times New Roman"/>
          <w:sz w:val="18"/>
          <w:szCs w:val="18"/>
          <w:color w:val="auto"/>
        </w:rPr>
      </w:pPr>
    </w:p>
    <w:p>
      <w:pPr>
        <w:jc w:val="both"/>
        <w:ind w:right="20" w:firstLine="1304"/>
        <w:spacing w:after="0" w:line="258" w:lineRule="auto"/>
        <w:tabs>
          <w:tab w:leader="none" w:pos="17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herein to the contrary, if following the date that is six (6) months following the Issuance Date of this Warrant, a registration statement covering the issuance of the Exercise Notice Warrant Shares (as defined in Section 1(d)) is not available for the issuance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1304"/>
        <w:spacing w:after="0" w:line="252" w:lineRule="auto"/>
        <w:tabs>
          <w:tab w:leader="none" w:pos="171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either (I) the Company shall fail for any reason or for no reason to issue to the Holder on or prior to the applicable Delivery Date, if (x) the Transfer Agent is not participating in FAST,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or (II) a registration statement covering the issuance or resale of the Warrant Shares or Pre-Funded Warrants that are the subject of the Exercise Notice (the “</w:t>
      </w:r>
      <w:r>
        <w:rPr>
          <w:rFonts w:ascii="Times New Roman" w:cs="Times New Roman" w:eastAsia="Times New Roman" w:hAnsi="Times New Roman"/>
          <w:sz w:val="18"/>
          <w:szCs w:val="18"/>
          <w:b w:val="1"/>
          <w:bCs w:val="1"/>
          <w:i w:val="1"/>
          <w:iCs w:val="1"/>
          <w:color w:val="auto"/>
        </w:rPr>
        <w:t>Exercise Notice Warrant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Exercise Notice Pre-Funded Warrants</w:t>
      </w:r>
      <w:r>
        <w:rPr>
          <w:rFonts w:ascii="Times New Roman" w:cs="Times New Roman" w:eastAsia="Times New Roman" w:hAnsi="Times New Roman"/>
          <w:sz w:val="18"/>
          <w:szCs w:val="18"/>
          <w:color w:val="auto"/>
        </w:rPr>
        <w:t>”, as applicable) is not available for the issuance or resale, as applicable, of such Exercise Notice Warrant Shares or Exercise Notice Pre-Funded Warrants and (x) the Company fails to promptly, but in no event later than one (1) Business Day after such registration statement becomes unavailable, to so notify the Holder and (y) the Company is unable to deliver the Exercise Notice Warrant Shares or Exercise Notice Pre-Funded Warrants electronically without any restrictive legend by crediting such aggregate number of Exercise Notice Warrant Shares or Exercise Notice Pre-Funded Warrants to the Holder’s or its designee’s balance account with DTC through its Deposit / Withdrawal At Custodian system (the event described in the immediately foregoing clause (II) together with the event described in clause (I) above, an “</w:t>
      </w:r>
      <w:r>
        <w:rPr>
          <w:rFonts w:ascii="Times New Roman" w:cs="Times New Roman" w:eastAsia="Times New Roman" w:hAnsi="Times New Roman"/>
          <w:sz w:val="18"/>
          <w:szCs w:val="18"/>
          <w:b w:val="1"/>
          <w:bCs w:val="1"/>
          <w:i w:val="1"/>
          <w:iCs w:val="1"/>
          <w:color w:val="auto"/>
        </w:rPr>
        <w:t>Exercise Failure</w:t>
      </w:r>
      <w:r>
        <w:rPr>
          <w:rFonts w:ascii="Times New Roman" w:cs="Times New Roman" w:eastAsia="Times New Roman" w:hAnsi="Times New Roman"/>
          <w:sz w:val="18"/>
          <w:szCs w:val="18"/>
          <w:color w:val="auto"/>
        </w:rPr>
        <w:t>”), then, in addition to all other remedies available to the Holder, if on or prior to the applicable Delivery Date either</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FAST, the Company shall fail to issue and deliver, as elected by the Holder, a certificate or evidence of a book entry credit to the Holder and register such shares of Common Stock on the Company’s share register or, if the Transfer Agent is participating in FAST, credit the Holder’s balance account with DTC for the number of shares of Common Stock to which the Holder is entitled upon the Holder’s exercise hereunder or pursuant to the Company’s obligation pursuant to clause (ii) below or (II) if an Exercise Failure occurs, and if after such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rescission of an exercise shall not affect the Company’s obligation to make any payments that have accrued prior to the date of such notice pursuant to this Section 1(d) or otherwise, and (ii) if a registration statement covering the issuance or resale of the Warrant Shares or Pre-Funded Warrants that are subject to an Exercise Notice is not available for the issuance or resale, as applicable, of such Exercise Notice Warrant Shares or Exercise Notice Pre-Funded Warrants and the Holder has submitted an Exercise Notice prior to receiving notice of the non-availability of such registration statement and the Company has not already delivered the Warrant Shares or Pre-Funded Warrants underlying such Exercise Notice electronically without any restrictive legend by crediting such aggregate number of Warrant Shares or Pre-Funded Warrants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rescission of an Exercise Notice shall not affect the Company’s obligation to make any payments that have accrued prior to the date of such notice pursuant to this Section 1(d) or otherwise and/or switch some or all of such Exercise Notice from a cash exercise to a Cashless Exercise.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1304"/>
        <w:spacing w:after="0" w:line="266" w:lineRule="auto"/>
        <w:tabs>
          <w:tab w:leader="none" w:pos="1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applicable Exercise Price or the arithmetic calculation of the Warrant Shares or Pre-Funded Warrants, the Company shall promptly issue to the Holder the number of Warrant Shares or Pre-Funded Warrants that are not disputed and resolve such dispute in accordance with Section 11.</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628"/>
        <w:spacing w:after="0" w:line="252" w:lineRule="auto"/>
        <w:tabs>
          <w:tab w:leader="none" w:pos="20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[4.99][9.99][19.99]%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 notice to the Company, the Holder may from time to time terminate, increase or decrease the Maximum Percentage to any other percentage as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952"/>
        <w:spacing w:after="0" w:line="252" w:lineRule="auto"/>
        <w:tabs>
          <w:tab w:leader="none" w:pos="2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as the case may be, (y) a more recent public announcement by the Company or (z) any other written notice by the Company or the Transfer Agent setting forth the number of shares of Common Stock outstanding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and in any event, within five (5) Trading Days, the Company shall return to the Holder any Exercise Price paid by the Holder for the Reduction Shares in excess of the Exercise Price for the Pre-Funded Warrants issued to the Holder.</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1952"/>
        <w:spacing w:after="0" w:line="251" w:lineRule="auto"/>
        <w:tabs>
          <w:tab w:leader="none" w:pos="23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obtains the approval of its stockholders as required by the applicable rules of the applicable Principal Market for issuances of Common Stock in excess of such amount, the Company shall not effect any exercise of this Warrant, and the Holder shall not have the right to exercise any portion of this Warrant, pursuant to Section 1 or otherwise, to the extent that after giving effect to such issuance after exercise as set forth on the applicable Exercise Notice, the Holder, together with the Attribution Parties, would beneficially own in excess of the Primary Market Limitation (as defined below</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are issuable upon (i) exercise of the remaining, nonexercised portion of this Warrant beneficially owned by such Holder or any of its Affiliates or Attribution Parties and (ii) exercise or conversion of the unexercised or unconverted portion of any other securities of the Company (including, without limitation, any other Common Stock Equivalents) held by such Holder or any of its Affiliates or Attribution Parties, but for a limitation on conversion or exercise analogous to the limitation contained herein. Except as set forth in the preceding sentence, for purposes of this Section 1(e)(4), beneficial ownership shall be calculated in accordance with Section 13(d) of the 1934 Act and the rules and regulations promulgated thereunder, it being acknowledged by the Holder that the Company is not representing to the Holder that such calculation is in compliance with Section 13(d) of the 1934 Act and the Holder is solely responsible for any schedules required to be filed in accordance therewith (other than as it relates to a Holder relying on the number of shares issued and outstanding as provided by the Company pursuant to this Section 1(e)(4)). To the extent that the limitation contained in this Section 1(f)(4) applies, the determination of whether this Warrant is exercisable (in relation to other securities owned by the Holder together with any Attribution Parties) and of which portion of this Warrant is exercisable shall be in the sole discretion of the Company. A determination as to any group status as contemplated above shall be determined in accordance with Section 13(d) of the 1934 Act and the rules and regulations promulgated thereunder in the sole discretion of the Holder or Holders. Upon the written or oral request (which may be via email) of a Holder, the Company shall within one Trading Day confirm orally and in writing to such Holder the number of shares of Common Stock then outstanding. The “</w:t>
      </w:r>
      <w:r>
        <w:rPr>
          <w:rFonts w:ascii="Times New Roman" w:cs="Times New Roman" w:eastAsia="Times New Roman" w:hAnsi="Times New Roman"/>
          <w:sz w:val="18"/>
          <w:szCs w:val="18"/>
          <w:b w:val="1"/>
          <w:bCs w:val="1"/>
          <w:i w:val="1"/>
          <w:iCs w:val="1"/>
          <w:color w:val="auto"/>
        </w:rPr>
        <w:t>Primary Market Limitation</w:t>
      </w:r>
      <w:r>
        <w:rPr>
          <w:rFonts w:ascii="Times New Roman" w:cs="Times New Roman" w:eastAsia="Times New Roman" w:hAnsi="Times New Roman"/>
          <w:sz w:val="18"/>
          <w:szCs w:val="18"/>
          <w:color w:val="auto"/>
        </w:rPr>
        <w:t>” shall be 19.99% of the number of shares of the Common Stock outstanding immediately before giving effect to the issuance of shares of Common Stock issuable upon exercise of this Warrant. The limitations contained in this paragraph shall apply to a successor holder of this Warrant.</w:t>
      </w:r>
    </w:p>
    <w:p>
      <w:pPr>
        <w:spacing w:after="0" w:line="20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8"/>
          <w:szCs w:val="18"/>
          <w:b w:val="1"/>
          <w:bCs w:val="1"/>
          <w:i w:val="1"/>
          <w:iCs w:val="1"/>
          <w:color w:val="auto"/>
        </w:rPr>
        <w:t>Required Reserve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8"/>
          <w:szCs w:val="18"/>
          <w:b w:val="1"/>
          <w:bCs w:val="1"/>
          <w:i w:val="1"/>
          <w:i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1142"/>
        <w:spacing w:after="0" w:line="253" w:lineRule="auto"/>
        <w:tabs>
          <w:tab w:leader="none" w:pos="15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8"/>
          <w:szCs w:val="18"/>
          <w:b w:val="1"/>
          <w:bCs w:val="1"/>
          <w:i w:val="1"/>
          <w:i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 Failure</w:t>
      </w:r>
      <w:r>
        <w:rPr>
          <w:rFonts w:ascii="Times New Roman" w:cs="Times New Roman" w:eastAsia="Times New Roman" w:hAnsi="Times New Roman"/>
          <w:sz w:val="18"/>
          <w:szCs w:val="18"/>
          <w:color w:val="auto"/>
        </w:rPr>
        <w:t>”), then the Company shall promptly take all action reasonably necessary to increase the Company’s authorized shares of Common Stock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 OR PRE-FUNDED WARRANTS</w:t>
      </w:r>
      <w:r>
        <w:rPr>
          <w:rFonts w:ascii="Times New Roman" w:cs="Times New Roman" w:eastAsia="Times New Roman" w:hAnsi="Times New Roman"/>
          <w:sz w:val="18"/>
          <w:szCs w:val="18"/>
          <w:color w:val="auto"/>
        </w:rPr>
        <w:t>. The Exercise Price and the number of Warrant Shares or Pre-Funded Warrants shall be adjusted from time to time as follows:</w:t>
      </w:r>
    </w:p>
    <w:p>
      <w:pPr>
        <w:spacing w:after="0" w:line="161"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142"/>
        <w:spacing w:after="0" w:line="254" w:lineRule="auto"/>
        <w:tabs>
          <w:tab w:leader="none" w:pos="16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Common Stock</w:t>
      </w:r>
      <w:r>
        <w:rPr>
          <w:rFonts w:ascii="Times New Roman" w:cs="Times New Roman" w:eastAsia="Times New Roman" w:hAnsi="Times New Roman"/>
          <w:sz w:val="18"/>
          <w:szCs w:val="18"/>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1142"/>
        <w:spacing w:after="0" w:line="258" w:lineRule="auto"/>
        <w:tabs>
          <w:tab w:leader="none" w:pos="15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adjustment pursuant to this Section 2(c) will increase the Exercise Price or decrease the number of Warrant Shares as otherwise determined pursuant to this Section 2.</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and Primary Market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or Primary Market Limitation,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or Primary Market Limitation,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142"/>
        <w:spacing w:after="0" w:line="252" w:lineRule="auto"/>
        <w:tabs>
          <w:tab w:leader="none" w:pos="15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and Primary Market Limitation)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or Primary Market Limitation,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or Primary Market Limitation,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1142"/>
        <w:spacing w:after="0" w:line="251" w:lineRule="auto"/>
        <w:tabs>
          <w:tab w:leader="none" w:pos="15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the Transaction Documents, including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1(e)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i w:val="1"/>
          <w:i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Expiration Date, (B) an expected volatility equal to the 100 day volatility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Expiration Date and (E) a zero cost of borrow. The payment of the Black Scholes Value will be made by wire transfer of immediately available funds (or such other consideration) within five (5) Trading Days of the Holder’s election (or, if later, on the effective date of the Fundamental Transaction).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656"/>
        <w:spacing w:after="0" w:line="253" w:lineRule="auto"/>
        <w:tabs>
          <w:tab w:leader="none" w:pos="12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or Pre-Funded Warrants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Without limiting any rights of a Holder to receive Warrant Shares or Pre-Funded Warrants on a “Cashless Exercise” pursuant to Section 1(c) or to receive cash payments pursuant to Section 1(d) herein, in no event shall the Company be required to net cash settle an exercise of this Warrant.</w:t>
      </w:r>
    </w:p>
    <w:p>
      <w:pPr>
        <w:spacing w:after="0" w:line="18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142"/>
        <w:spacing w:after="0" w:line="258" w:lineRule="auto"/>
        <w:tabs>
          <w:tab w:leader="none" w:pos="15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1142"/>
        <w:spacing w:after="0" w:line="258" w:lineRule="auto"/>
        <w:tabs>
          <w:tab w:leader="none" w:pos="159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w:t>
      </w:r>
    </w:p>
    <w:p>
      <w:pPr>
        <w:spacing w:after="0" w:line="183" w:lineRule="exact"/>
        <w:rPr>
          <w:rFonts w:ascii="Times New Roman" w:cs="Times New Roman" w:eastAsia="Times New Roman" w:hAnsi="Times New Roman"/>
          <w:sz w:val="18"/>
          <w:szCs w:val="18"/>
          <w:color w:val="auto"/>
        </w:rPr>
      </w:pPr>
    </w:p>
    <w:p>
      <w:pPr>
        <w:jc w:val="both"/>
        <w:ind w:firstLine="1142"/>
        <w:spacing w:after="0" w:line="261" w:lineRule="auto"/>
        <w:tabs>
          <w:tab w:leader="none" w:pos="1527"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1142"/>
        <w:spacing w:after="0" w:line="254" w:lineRule="auto"/>
        <w:tabs>
          <w:tab w:leader="none" w:pos="15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 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3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issuance date, as indicated on the face of such new Warrant which is the same as the Issuance Date, and (iv) shall have the same rights and conditions as this Warrant.</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9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w:t>
      </w:r>
    </w:p>
    <w:p>
      <w:pPr>
        <w:spacing w:after="0" w:line="18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3"/>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John Alam, M.D.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660" w:firstLine="644"/>
        <w:spacing w:after="0" w:line="282" w:lineRule="auto"/>
        <w:tabs>
          <w:tab w:leader="none" w:pos="20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such address or other contact information delivered by the Holder to the Company or as is on the books and records of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89" w:lineRule="exact"/>
        <w:rPr>
          <w:sz w:val="20"/>
          <w:szCs w:val="20"/>
          <w:color w:val="auto"/>
        </w:rPr>
      </w:pPr>
    </w:p>
    <w:p>
      <w:pPr>
        <w:jc w:val="both"/>
        <w:ind w:firstLine="656"/>
        <w:spacing w:after="0" w:line="266"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jc w:val="both"/>
        <w:ind w:firstLine="656"/>
        <w:spacing w:after="0" w:line="25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8"/>
          <w:szCs w:val="18"/>
          <w:b w:val="1"/>
          <w:bCs w:val="1"/>
          <w:color w:val="auto"/>
        </w:rPr>
        <w:t>THE COMPANY HEREBY IRREVOCABLY</w:t>
      </w:r>
    </w:p>
    <w:p>
      <w:pPr>
        <w:spacing w:after="0" w:line="10"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56"/>
        <w:spacing w:after="0" w:line="253"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or Pre-Funded Warrants,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or Pre-Funded Warrants may be offered for sale, sold, transferred, pledged or assigned without the consent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56"/>
        <w:spacing w:after="0" w:line="253"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CONSTRUCTION; HEADINGS</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8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142"/>
        <w:spacing w:after="0" w:line="257" w:lineRule="auto"/>
        <w:tabs>
          <w:tab w:leader="none" w:pos="15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2" w:lineRule="exact"/>
        <w:rPr>
          <w:rFonts w:ascii="Times New Roman" w:cs="Times New Roman" w:eastAsia="Times New Roman" w:hAnsi="Times New Roman"/>
          <w:sz w:val="18"/>
          <w:szCs w:val="18"/>
          <w:color w:val="auto"/>
        </w:rPr>
      </w:pPr>
    </w:p>
    <w:p>
      <w:pPr>
        <w:jc w:val="both"/>
        <w:ind w:firstLine="1142"/>
        <w:spacing w:after="0" w:line="259" w:lineRule="auto"/>
        <w:tabs>
          <w:tab w:leader="none" w:pos="15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w:t>
      </w:r>
    </w:p>
    <w:p>
      <w:pPr>
        <w:spacing w:after="0" w:line="179" w:lineRule="exact"/>
        <w:rPr>
          <w:rFonts w:ascii="Times New Roman" w:cs="Times New Roman" w:eastAsia="Times New Roman" w:hAnsi="Times New Roman"/>
          <w:sz w:val="18"/>
          <w:szCs w:val="18"/>
          <w:color w:val="auto"/>
        </w:rPr>
      </w:pPr>
    </w:p>
    <w:p>
      <w:pPr>
        <w:ind w:firstLine="1142"/>
        <w:spacing w:after="0" w:line="286" w:lineRule="auto"/>
        <w:tabs>
          <w:tab w:leader="none" w:pos="15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1142"/>
        <w:spacing w:after="0" w:line="254" w:lineRule="auto"/>
        <w:tabs>
          <w:tab w:leader="none" w:pos="15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82" w:lineRule="exact"/>
        <w:rPr>
          <w:rFonts w:ascii="Times New Roman" w:cs="Times New Roman" w:eastAsia="Times New Roman" w:hAnsi="Times New Roman"/>
          <w:sz w:val="18"/>
          <w:szCs w:val="18"/>
          <w:color w:val="auto"/>
        </w:rPr>
      </w:pPr>
    </w:p>
    <w:p>
      <w:pPr>
        <w:jc w:val="both"/>
        <w:ind w:firstLine="1142"/>
        <w:spacing w:after="0" w:line="254" w:lineRule="auto"/>
        <w:tabs>
          <w:tab w:leader="none" w:pos="15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2" w:lineRule="exact"/>
        <w:rPr>
          <w:rFonts w:ascii="Times New Roman" w:cs="Times New Roman" w:eastAsia="Times New Roman" w:hAnsi="Times New Roman"/>
          <w:sz w:val="18"/>
          <w:szCs w:val="18"/>
          <w:color w:val="auto"/>
        </w:rPr>
      </w:pPr>
    </w:p>
    <w:p>
      <w:pPr>
        <w:ind w:firstLine="1142"/>
        <w:spacing w:after="0" w:line="286" w:lineRule="auto"/>
        <w:tabs>
          <w:tab w:leader="none" w:pos="15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firstLine="1142"/>
        <w:spacing w:after="0" w:line="268" w:lineRule="auto"/>
        <w:tabs>
          <w:tab w:leader="none" w:pos="1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right="20" w:firstLine="1142"/>
        <w:spacing w:after="0" w:line="286" w:lineRule="auto"/>
        <w:tabs>
          <w:tab w:leader="none" w:pos="15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firstLine="1142"/>
        <w:spacing w:after="0" w:line="286"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Market</w:t>
      </w:r>
      <w:r>
        <w:rPr>
          <w:rFonts w:ascii="Times New Roman" w:cs="Times New Roman" w:eastAsia="Times New Roman" w:hAnsi="Times New Roman"/>
          <w:sz w:val="18"/>
          <w:szCs w:val="18"/>
          <w:color w:val="auto"/>
        </w:rPr>
        <w:t>” means The Nasdaq Capital Market, the NYSE American LLC, The Nasdaq Global Select Market, The Nasdaq Global Market or The New York Stock Exchange, Inc.</w:t>
      </w:r>
    </w:p>
    <w:p>
      <w:pPr>
        <w:spacing w:after="0" w:line="154"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June 11, 2031.</w:t>
      </w:r>
    </w:p>
    <w:p>
      <w:pPr>
        <w:spacing w:after="0" w:line="225" w:lineRule="exact"/>
        <w:rPr>
          <w:rFonts w:ascii="Times New Roman" w:cs="Times New Roman" w:eastAsia="Times New Roman" w:hAnsi="Times New Roman"/>
          <w:sz w:val="18"/>
          <w:szCs w:val="18"/>
          <w:color w:val="auto"/>
        </w:rPr>
      </w:pPr>
    </w:p>
    <w:p>
      <w:pPr>
        <w:jc w:val="both"/>
        <w:ind w:firstLine="1142"/>
        <w:spacing w:after="0" w:line="251" w:lineRule="auto"/>
        <w:tabs>
          <w:tab w:leader="none" w:pos="15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1640" w:hanging="356"/>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1934 Act, and all related rules, regulations and jurisprudence.</w:t>
      </w:r>
    </w:p>
    <w:p>
      <w:pPr>
        <w:spacing w:after="0" w:line="225" w:lineRule="exact"/>
        <w:rPr>
          <w:rFonts w:ascii="Times New Roman" w:cs="Times New Roman" w:eastAsia="Times New Roman" w:hAnsi="Times New Roman"/>
          <w:sz w:val="18"/>
          <w:szCs w:val="18"/>
          <w:color w:val="auto"/>
        </w:rPr>
      </w:pPr>
    </w:p>
    <w:p>
      <w:pPr>
        <w:ind w:left="1720" w:hanging="436"/>
        <w:spacing w:after="0"/>
        <w:tabs>
          <w:tab w:leader="none" w:pos="1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9" w:lineRule="auto"/>
        <w:tabs>
          <w:tab w:leader="none" w:pos="16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79" w:lineRule="exact"/>
        <w:rPr>
          <w:rFonts w:ascii="Times New Roman" w:cs="Times New Roman" w:eastAsia="Times New Roman" w:hAnsi="Times New Roman"/>
          <w:sz w:val="18"/>
          <w:szCs w:val="18"/>
          <w:color w:val="auto"/>
        </w:rPr>
      </w:pPr>
    </w:p>
    <w:p>
      <w:pPr>
        <w:ind w:left="-20" w:firstLine="1304"/>
        <w:spacing w:after="0" w:line="286" w:lineRule="auto"/>
        <w:tabs>
          <w:tab w:leader="none" w:pos="17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left="-20" w:firstLine="1304"/>
        <w:spacing w:after="0" w:line="286" w:lineRule="auto"/>
        <w:tabs>
          <w:tab w:leader="none" w:pos="16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Issuance Date, is The Nasdaq Capital Market.</w:t>
      </w:r>
    </w:p>
    <w:p>
      <w:pPr>
        <w:spacing w:after="0" w:line="154" w:lineRule="exact"/>
        <w:rPr>
          <w:rFonts w:ascii="Times New Roman" w:cs="Times New Roman" w:eastAsia="Times New Roman" w:hAnsi="Times New Roman"/>
          <w:sz w:val="18"/>
          <w:szCs w:val="18"/>
          <w:color w:val="auto"/>
        </w:rPr>
      </w:pPr>
    </w:p>
    <w:p>
      <w:pPr>
        <w:ind w:left="-20" w:firstLine="1304"/>
        <w:spacing w:after="0" w:line="286" w:lineRule="auto"/>
        <w:tabs>
          <w:tab w:leader="none" w:pos="17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Holders</w:t>
      </w:r>
      <w:r>
        <w:rPr>
          <w:rFonts w:ascii="Times New Roman" w:cs="Times New Roman" w:eastAsia="Times New Roman" w:hAnsi="Times New Roman"/>
          <w:sz w:val="18"/>
          <w:szCs w:val="18"/>
          <w:color w:val="auto"/>
        </w:rPr>
        <w:t>” means the holders of this Warrant and the Other Warrants representing at least a majority of the shares of Common Stock underlying this Warrant and the Other Warrants then outstanding.</w:t>
      </w:r>
    </w:p>
    <w:p>
      <w:pPr>
        <w:spacing w:after="0" w:line="154" w:lineRule="exact"/>
        <w:rPr>
          <w:rFonts w:ascii="Times New Roman" w:cs="Times New Roman" w:eastAsia="Times New Roman" w:hAnsi="Times New Roman"/>
          <w:sz w:val="18"/>
          <w:szCs w:val="18"/>
          <w:color w:val="auto"/>
        </w:rPr>
      </w:pPr>
    </w:p>
    <w:p>
      <w:pPr>
        <w:ind w:left="-20" w:right="20" w:firstLine="1304"/>
        <w:spacing w:after="0" w:line="286" w:lineRule="auto"/>
        <w:tabs>
          <w:tab w:leader="none" w:pos="17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Market with respect to the Common Stock that is in effect on the date of delivery of an applicable Exercise Notice.</w:t>
      </w:r>
    </w:p>
    <w:p>
      <w:pPr>
        <w:spacing w:after="0" w:line="154" w:lineRule="exact"/>
        <w:rPr>
          <w:rFonts w:ascii="Times New Roman" w:cs="Times New Roman" w:eastAsia="Times New Roman" w:hAnsi="Times New Roman"/>
          <w:sz w:val="18"/>
          <w:szCs w:val="18"/>
          <w:color w:val="auto"/>
        </w:rPr>
      </w:pPr>
    </w:p>
    <w:p>
      <w:pPr>
        <w:ind w:left="1660" w:hanging="376"/>
        <w:spacing w:after="0"/>
        <w:tabs>
          <w:tab w:leader="none" w:pos="1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8" w:lineRule="auto"/>
        <w:tabs>
          <w:tab w:leader="none" w:pos="16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38" w:name="page39"/>
    <w:bookmarkEnd w:id="38"/>
    <w:p>
      <w:pPr>
        <w:ind w:left="1700" w:hanging="396"/>
        <w:spacing w:after="0"/>
        <w:tabs>
          <w:tab w:leader="none" w:pos="1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Market is normally open for trading.</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Warrant, that certain Securities Purchase Agreement, dated June 9, 2026, by and between the Company and the purchasers set forth therein, and any agreement entered into by and between the Company and the Holder, as applicable, in connection with such agreements.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and/or pre-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warrants to purchase ________________ shares of Common Stock at a purchase price of $0.001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of CervoMed Inc., a</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company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evidenced by the attached Series B Warrant to Purchase Common Stock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840" w:hanging="184"/>
        <w:spacing w:after="0"/>
        <w:tabs>
          <w:tab w:leader="none" w:pos="8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The Holder intends that payment of the Exercise Price shall be made with respect to _________________ Warrant Shares and/or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_______________ Pre-Funded Warrants.</w:t>
      </w:r>
    </w:p>
    <w:p>
      <w:pPr>
        <w:spacing w:after="0" w:line="206" w:lineRule="exact"/>
        <w:rPr>
          <w:rFonts w:ascii="Times New Roman" w:cs="Times New Roman" w:eastAsia="Times New Roman" w:hAnsi="Times New Roman"/>
          <w:sz w:val="17"/>
          <w:szCs w:val="17"/>
          <w:color w:val="auto"/>
        </w:rPr>
      </w:pPr>
    </w:p>
    <w:p>
      <w:pPr>
        <w:ind w:firstLine="656"/>
        <w:spacing w:after="0" w:line="282" w:lineRule="auto"/>
        <w:tabs>
          <w:tab w:leader="none" w:pos="8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The Holder shall pay the Aggregate Exercise Price in the sum of $___________________ to the Company in accordance with the terms of the Warrant and/or, in lieu of cash payment, a “Cashless Exercise” with respect to __________ Warrant Shares.</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and/or Pre-Funded Warrants. The Company shall deliver to the holder _______________ Warrant Shares and/or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Pre-Funded Warrants in accordance with the terms of the Warrant.</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_______________ __, 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-7620</wp:posOffset>
            </wp:positionV>
            <wp:extent cx="14852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 SECURITIES EVIDENCED BY THIS CERTIFICATE HAVE NOT BEEN REGISTERED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OR ANY OTHER APPLICABLE SECURITIES LAWS AND HAVE BEEN ISSUED IN RELIANCE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Number of Shares: [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7"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8"/>
          <w:szCs w:val="18"/>
          <w:color w:val="auto"/>
        </w:rPr>
        <w:t>Warrant No. [ • ]</w:t>
      </w:r>
      <w:r>
        <w:rPr>
          <w:sz w:val="20"/>
          <w:szCs w:val="20"/>
          <w:color w:val="auto"/>
        </w:rPr>
        <w:tab/>
      </w:r>
      <w:r>
        <w:rPr>
          <w:rFonts w:ascii="Times New Roman" w:cs="Times New Roman" w:eastAsia="Times New Roman" w:hAnsi="Times New Roman"/>
          <w:sz w:val="18"/>
          <w:szCs w:val="18"/>
          <w:color w:val="auto"/>
        </w:rPr>
        <w:t>Original Issue Date: [ • ], 202_</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CervoMed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 or its registered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an exercise price per share equal to $0.001 per share (as adjusted from time to time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3" w:lineRule="exact"/>
        <w:rPr>
          <w:sz w:val="20"/>
          <w:szCs w:val="20"/>
          <w:color w:val="auto"/>
        </w:rPr>
      </w:pPr>
    </w:p>
    <w:p>
      <w:pPr>
        <w:ind w:left="1200" w:hanging="544"/>
        <w:spacing w:after="0"/>
        <w:tabs>
          <w:tab w:leader="none" w:pos="12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Capital Market.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jc w:val="both"/>
        <w:ind w:firstLine="818"/>
        <w:spacing w:after="0" w:line="259" w:lineRule="auto"/>
        <w:tabs>
          <w:tab w:leader="none" w:pos="160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b w:val="1"/>
          <w:bCs w:val="1"/>
          <w:color w:val="auto"/>
        </w:rPr>
      </w:pPr>
    </w:p>
    <w:p>
      <w:pPr>
        <w:jc w:val="both"/>
        <w:ind w:firstLine="818"/>
        <w:spacing w:after="0" w:line="254" w:lineRule="auto"/>
        <w:tabs>
          <w:tab w:leader="none" w:pos="149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b w:val="1"/>
          <w:bCs w:val="1"/>
          <w:color w:val="auto"/>
        </w:rPr>
      </w:pPr>
    </w:p>
    <w:p>
      <w:pPr>
        <w:ind w:left="1360" w:hanging="542"/>
        <w:spacing w:after="0"/>
        <w:tabs>
          <w:tab w:leader="none" w:pos="1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7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360" w:hanging="542"/>
        <w:spacing w:after="0"/>
        <w:tabs>
          <w:tab w:leader="none" w:pos="136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70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1"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304"/>
        <w:spacing w:after="0" w:line="254" w:lineRule="auto"/>
        <w:tabs>
          <w:tab w:leader="none" w:pos="17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rFonts w:ascii="Times New Roman" w:cs="Times New Roman" w:eastAsia="Times New Roman" w:hAnsi="Times New Roman"/>
          <w:sz w:val="18"/>
          <w:szCs w:val="18"/>
          <w:color w:val="auto"/>
        </w:rPr>
      </w:pPr>
    </w:p>
    <w:p>
      <w:pPr>
        <w:jc w:val="both"/>
        <w:ind w:firstLine="656"/>
        <w:spacing w:after="0" w:line="257" w:lineRule="auto"/>
        <w:tabs>
          <w:tab w:leader="none" w:pos="96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the Warrant Shares upon exercise of this Warrant shall be made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firstLine="656"/>
        <w:spacing w:after="0" w:line="286" w:lineRule="auto"/>
        <w:tabs>
          <w:tab w:leader="none" w:pos="101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980"/>
        <w:spacing w:after="0" w:line="253" w:lineRule="auto"/>
        <w:tabs>
          <w:tab w:leader="none" w:pos="140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9" w:lineRule="exact"/>
        <w:rPr>
          <w:rFonts w:ascii="Times New Roman" w:cs="Times New Roman" w:eastAsia="Times New Roman" w:hAnsi="Times New Roman"/>
          <w:sz w:val="18"/>
          <w:szCs w:val="18"/>
          <w:color w:val="auto"/>
        </w:rPr>
      </w:pPr>
    </w:p>
    <w:p>
      <w:pPr>
        <w:jc w:val="both"/>
        <w:ind w:firstLine="980"/>
        <w:spacing w:after="0" w:line="252" w:lineRule="auto"/>
        <w:tabs>
          <w:tab w:leader="none" w:pos="145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980"/>
        <w:spacing w:after="0" w:line="252" w:lineRule="auto"/>
        <w:tabs>
          <w:tab w:leader="none" w:pos="14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jc w:val="both"/>
        <w:ind w:firstLine="980"/>
        <w:spacing w:after="0" w:line="251" w:lineRule="auto"/>
        <w:tabs>
          <w:tab w:leader="none" w:pos="13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980"/>
        <w:spacing w:after="0" w:line="261" w:lineRule="auto"/>
        <w:tabs>
          <w:tab w:leader="none" w:pos="14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4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jc w:val="both"/>
        <w:ind w:firstLine="980"/>
        <w:spacing w:after="0" w:line="253" w:lineRule="auto"/>
        <w:tabs>
          <w:tab w:leader="none" w:pos="13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(5)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980"/>
        <w:spacing w:after="0" w:line="268" w:lineRule="auto"/>
        <w:tabs>
          <w:tab w:leader="none" w:pos="161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0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ind w:left="1380"/>
        <w:spacing w:after="0"/>
        <w:tabs>
          <w:tab w:leader="none" w:pos="1960" w:val="left"/>
        </w:tabs>
        <w:rPr>
          <w:sz w:val="20"/>
          <w:szCs w:val="20"/>
          <w:color w:val="auto"/>
        </w:rPr>
      </w:pPr>
      <w:r>
        <w:rPr>
          <w:rFonts w:ascii="Times New Roman" w:cs="Times New Roman" w:eastAsia="Times New Roman" w:hAnsi="Times New Roman"/>
          <w:sz w:val="18"/>
          <w:szCs w:val="18"/>
          <w:color w:val="auto"/>
        </w:rPr>
        <w:t>“AA”</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“C”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140" w:hanging="484"/>
        <w:spacing w:after="0"/>
        <w:tabs>
          <w:tab w:leader="none" w:pos="114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142"/>
        <w:spacing w:after="0" w:line="251" w:lineRule="auto"/>
        <w:tabs>
          <w:tab w:leader="none" w:pos="1955"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(1)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w:t>
      </w:r>
    </w:p>
    <w:p>
      <w:pPr>
        <w:spacing w:after="0" w:line="7" w:lineRule="exact"/>
        <w:rPr>
          <w:rFonts w:ascii="Times New Roman" w:cs="Times New Roman" w:eastAsia="Times New Roman" w:hAnsi="Times New Roman"/>
          <w:sz w:val="18"/>
          <w:szCs w:val="18"/>
          <w:color w:val="auto"/>
        </w:rPr>
      </w:pPr>
    </w:p>
    <w:p>
      <w:pPr>
        <w:jc w:val="both"/>
        <w:ind w:firstLine="8"/>
        <w:spacing w:after="0" w:line="251" w:lineRule="auto"/>
        <w:tabs>
          <w:tab w:leader="none" w:pos="2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and shall not negatively affect any partial exercise effected prior to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304"/>
        <w:spacing w:after="0" w:line="253" w:lineRule="auto"/>
        <w:tabs>
          <w:tab w:leader="none" w:pos="19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7" w:lineRule="exact"/>
        <w:rPr>
          <w:rFonts w:ascii="Times New Roman" w:cs="Times New Roman" w:eastAsia="Times New Roman" w:hAnsi="Times New Roman"/>
          <w:sz w:val="18"/>
          <w:szCs w:val="18"/>
          <w:color w:val="auto"/>
        </w:rPr>
      </w:pPr>
    </w:p>
    <w:p>
      <w:pPr>
        <w:jc w:val="both"/>
        <w:ind w:firstLine="728"/>
        <w:spacing w:after="0" w:line="268" w:lineRule="auto"/>
        <w:tabs>
          <w:tab w:leader="none" w:pos="1363"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0" w:lineRule="exact"/>
        <w:rPr>
          <w:rFonts w:ascii="Times New Roman" w:cs="Times New Roman" w:eastAsia="Times New Roman" w:hAnsi="Times New Roman"/>
          <w:sz w:val="18"/>
          <w:szCs w:val="18"/>
          <w:b w:val="1"/>
          <w:bCs w:val="1"/>
          <w:color w:val="auto"/>
        </w:rPr>
      </w:pPr>
    </w:p>
    <w:p>
      <w:pPr>
        <w:jc w:val="both"/>
        <w:ind w:firstLine="728"/>
        <w:spacing w:after="0" w:line="256" w:lineRule="auto"/>
        <w:tabs>
          <w:tab w:leader="none" w:pos="122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2" w:lineRule="exact"/>
        <w:rPr>
          <w:rFonts w:ascii="Times New Roman" w:cs="Times New Roman" w:eastAsia="Times New Roman" w:hAnsi="Times New Roman"/>
          <w:sz w:val="18"/>
          <w:szCs w:val="18"/>
          <w:b w:val="1"/>
          <w:bCs w:val="1"/>
          <w:color w:val="auto"/>
        </w:rPr>
      </w:pPr>
    </w:p>
    <w:p>
      <w:pPr>
        <w:jc w:val="both"/>
        <w:ind w:firstLine="728"/>
        <w:spacing w:after="0" w:line="257" w:lineRule="auto"/>
        <w:tabs>
          <w:tab w:leader="none" w:pos="122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thirty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140" w:hanging="492"/>
        <w:spacing w:after="0"/>
        <w:tabs>
          <w:tab w:leader="none" w:pos="11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972"/>
        <w:spacing w:after="0" w:line="254" w:lineRule="auto"/>
        <w:tabs>
          <w:tab w:leader="none" w:pos="13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04"/>
        <w:spacing w:after="0" w:line="254" w:lineRule="auto"/>
        <w:tabs>
          <w:tab w:leader="none" w:pos="1849"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firstLine="1404"/>
        <w:spacing w:after="0" w:line="266" w:lineRule="auto"/>
        <w:tabs>
          <w:tab w:leader="none" w:pos="2179"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jc w:val="both"/>
        <w:ind w:firstLine="972"/>
        <w:spacing w:after="0" w:line="256" w:lineRule="auto"/>
        <w:tabs>
          <w:tab w:leader="none" w:pos="14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199390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296"/>
        <w:spacing w:after="0" w:line="266" w:lineRule="auto"/>
        <w:tabs>
          <w:tab w:leader="none" w:pos="17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1700" w:hanging="404"/>
        <w:spacing w:after="0"/>
        <w:tabs>
          <w:tab w:leader="none" w:pos="1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206" w:lineRule="exact"/>
        <w:rPr>
          <w:rFonts w:ascii="Times New Roman" w:cs="Times New Roman" w:eastAsia="Times New Roman" w:hAnsi="Times New Roman"/>
          <w:sz w:val="18"/>
          <w:szCs w:val="18"/>
          <w:color w:val="auto"/>
        </w:rPr>
      </w:pPr>
    </w:p>
    <w:p>
      <w:pPr>
        <w:jc w:val="both"/>
        <w:ind w:firstLine="1296"/>
        <w:spacing w:after="0" w:line="252" w:lineRule="auto"/>
        <w:tabs>
          <w:tab w:leader="none" w:pos="17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w:t>
      </w:r>
    </w:p>
    <w:p>
      <w:pPr>
        <w:spacing w:after="0" w:line="197" w:lineRule="exact"/>
        <w:rPr>
          <w:rFonts w:ascii="Times New Roman" w:cs="Times New Roman" w:eastAsia="Times New Roman" w:hAnsi="Times New Roman"/>
          <w:sz w:val="18"/>
          <w:szCs w:val="18"/>
          <w:color w:val="auto"/>
        </w:rPr>
      </w:pPr>
    </w:p>
    <w:p>
      <w:pPr>
        <w:ind w:firstLine="1296"/>
        <w:spacing w:after="0" w:line="282" w:lineRule="auto"/>
        <w:tabs>
          <w:tab w:leader="none" w:pos="16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1296"/>
        <w:spacing w:after="0" w:line="261" w:lineRule="auto"/>
        <w:tabs>
          <w:tab w:leader="none" w:pos="16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225425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17" w:right="339" w:bottom="1440" w:gutter="0" w:footer="0" w:header="0"/>
        </w:sectPr>
      </w:pPr>
    </w:p>
    <w:bookmarkStart w:id="54" w:name="page55"/>
    <w:bookmarkEnd w:id="54"/>
    <w:p>
      <w:pPr>
        <w:ind w:left="96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its authorized officer as of the date first indicated above.</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211455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to purchase shares of Common Stock under the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hanging="652"/>
        <w:spacing w:after="0" w:line="28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is the Holder of Warrant No. [ • ] (the “Warrant”) issued by </w:t>
      </w:r>
      <w:r>
        <w:rPr>
          <w:rFonts w:ascii="Times New Roman" w:cs="Times New Roman" w:eastAsia="Times New Roman" w:hAnsi="Times New Roman"/>
          <w:sz w:val="18"/>
          <w:szCs w:val="18"/>
          <w:b w:val="1"/>
          <w:bCs w:val="1"/>
          <w:color w:val="auto"/>
        </w:rPr>
        <w:t>CERVOMED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2040" w:hanging="574"/>
        <w:spacing w:after="0"/>
        <w:tabs>
          <w:tab w:leader="none" w:pos="204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left="660" w:right="2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34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34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1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(Signature must conform in all respects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 name of Holder as specified on the face of the Warrant)</w:t>
      </w:r>
    </w:p>
    <w:p>
      <w:pPr>
        <w:sectPr>
          <w:pgSz w:w="11900" w:h="16838" w:orient="portrait"/>
          <w:cols w:equalWidth="0" w:num="1">
            <w:col w:w="11240"/>
          </w:cols>
          <w:pgMar w:left="320" w:top="117" w:right="339" w:bottom="1440" w:gutter="0" w:footer="0" w:header="0"/>
        </w:sectPr>
      </w:pPr>
    </w:p>
    <w:bookmarkStart w:id="56" w:name="page57"/>
    <w:bookmarkEnd w:id="56"/>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AND,</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C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WARRANT TO PURCHASE COMMON STOCK OR PRE-FUNDED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or Pre-Funded Warrants: [_]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2026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CervoMed Inc., a company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[HOLDER], the registered holder hereof 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cs="Times New Roman" w:eastAsia="Times New Roman" w:hAnsi="Times New Roman"/>
          <w:sz w:val="18"/>
          <w:szCs w:val="18"/>
          <w:b w:val="1"/>
          <w:bCs w:val="1"/>
          <w:i w:val="1"/>
          <w:iCs w:val="1"/>
          <w:color w:val="auto"/>
        </w:rPr>
        <w:t>Exercisability Period</w:t>
      </w:r>
      <w:r>
        <w:rPr>
          <w:rFonts w:ascii="Times New Roman" w:cs="Times New Roman" w:eastAsia="Times New Roman" w:hAnsi="Times New Roman"/>
          <w:sz w:val="18"/>
          <w:szCs w:val="18"/>
          <w:color w:val="auto"/>
        </w:rPr>
        <w:t>”), either (x) [______________ (_____________)] fully paid non-assessable shares of Common Stock (as defined below), subject to adjustment as provided herein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or in lieu of all or a portion of such Warrant Shares, (y) pre-funded warrants to purchase [______________ (_____________)] shares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Common Stock for a future exercise price of $0.001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such choice between Warrant Shares and Pre-Funded Warrants determined by the Maximum Percentage (as defined below). Except as otherwise defined herein, capitalized terms in this Series C Warrant to Purchase Common Stock or Pre-Funded Warrants (including any Series C Warrants to Purchase Common Stock or Pre-Funded Warrants issued in exchange, transfer or replacement hereof,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shall have the meanings set forth in Section 16. This Warrant is one of the Series C Warrants to Purchase Common Stock or Pre-Funded Warrants (the “</w:t>
      </w:r>
      <w:r>
        <w:rPr>
          <w:rFonts w:ascii="Times New Roman" w:cs="Times New Roman" w:eastAsia="Times New Roman" w:hAnsi="Times New Roman"/>
          <w:sz w:val="18"/>
          <w:szCs w:val="18"/>
          <w:b w:val="1"/>
          <w:bCs w:val="1"/>
          <w:i w:val="1"/>
          <w:iCs w:val="1"/>
          <w:color w:val="auto"/>
        </w:rPr>
        <w:t>Other Warrants</w:t>
      </w:r>
      <w:r>
        <w:rPr>
          <w:rFonts w:ascii="Times New Roman" w:cs="Times New Roman" w:eastAsia="Times New Roman" w:hAnsi="Times New Roman"/>
          <w:sz w:val="18"/>
          <w:szCs w:val="18"/>
          <w:color w:val="auto"/>
        </w:rPr>
        <w:t>”) issued pursuant to that certain Securities Purchase Agreement, dated as of June 9, 2026 (the “</w:t>
      </w:r>
      <w:r>
        <w:rPr>
          <w:rFonts w:ascii="Times New Roman" w:cs="Times New Roman" w:eastAsia="Times New Roman" w:hAnsi="Times New Roman"/>
          <w:sz w:val="18"/>
          <w:szCs w:val="18"/>
          <w:b w:val="1"/>
          <w:bCs w:val="1"/>
          <w:i w:val="1"/>
          <w:iCs w:val="1"/>
          <w:color w:val="auto"/>
        </w:rPr>
        <w:t>Subscription Date</w:t>
      </w:r>
      <w:r>
        <w:rPr>
          <w:rFonts w:ascii="Times New Roman" w:cs="Times New Roman" w:eastAsia="Times New Roman" w:hAnsi="Times New Roman"/>
          <w:sz w:val="18"/>
          <w:szCs w:val="18"/>
          <w:color w:val="auto"/>
        </w:rPr>
        <w:t>”), by and between the Company and the Purchasers on the signature pages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89"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xml:space="preserve">. Subject to the terms and conditions hereof (including, without limitation, the limitations set forth in Section 1(e)), this Warrant may be exercised by the Holder at any time or times during the Exercisability Period, in whole or in part, by delivery (whether via electronic mail or otherwise) of a written notice,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of the Holder’s election to exercise this Warrant. Within one (1) Trading Day following the delivery of the Exercise Notice, the Holder shall make payment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cs="Times New Roman" w:eastAsia="Times New Roman" w:hAnsi="Times New Roman"/>
          <w:sz w:val="17"/>
          <w:szCs w:val="17"/>
          <w:b w:val="1"/>
          <w:bCs w:val="1"/>
          <w:i w:val="1"/>
          <w:iCs w:val="1"/>
          <w:color w:val="auto"/>
        </w:rPr>
        <w:t>Aggregate Exercise Price</w:t>
      </w:r>
      <w:r>
        <w:rPr>
          <w:rFonts w:ascii="Times New Roman" w:cs="Times New Roman" w:eastAsia="Times New Roman" w:hAnsi="Times New Roman"/>
          <w:sz w:val="17"/>
          <w:szCs w:val="17"/>
          <w:color w:val="auto"/>
        </w:rPr>
        <w:t>”) in cash by wire transfer of immediately available funds, or, if the provisions of Section 1(c) are applicable, by notifying the Company that this Warrant is being exercised pursuant to a Cashless Exercise (as defined in Section 1(c)).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or before the first (1st) Trading Day following the date on which the Holder has delivered the applicable Exercise Notice, the Company shall transmit by electronic mail an acknowledgment of confirmation of receipt of the Exercise Notice to the Holder and the Company’s transfer agent (the “</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So long as the Holder delivers the Aggregate Exercise Price (or notice of a Cashless Exercise, as applicable)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as applicable) on or prior to the first (1st) Trading Day following the date on which the Exercise Notice has been delivered to the Company, then on or prior to the first (1st) Trading Day following the date on which the Aggregate Exercise Price (or notice of a Cashless Exercise, as applicable) is delivered (such earlier date, or if later, the earliest day on which the Company is required to deliver Warrant Shares or Pre-Funded Warrants pursuant to this Section 1(a), the “</w:t>
      </w:r>
      <w:r>
        <w:rPr>
          <w:rFonts w:ascii="Times New Roman" w:cs="Times New Roman" w:eastAsia="Times New Roman" w:hAnsi="Times New Roman"/>
          <w:sz w:val="17"/>
          <w:szCs w:val="17"/>
          <w:b w:val="1"/>
          <w:bCs w:val="1"/>
          <w:i w:val="1"/>
          <w:iCs w:val="1"/>
          <w:color w:val="auto"/>
        </w:rPr>
        <w:t>Delivery Date</w:t>
      </w:r>
      <w:r>
        <w:rPr>
          <w:rFonts w:ascii="Times New Roman" w:cs="Times New Roman" w:eastAsia="Times New Roman" w:hAnsi="Times New Roman"/>
          <w:sz w:val="17"/>
          <w:szCs w:val="17"/>
          <w:color w:val="auto"/>
        </w:rPr>
        <w:t>”), the Company shall,</w:t>
      </w:r>
    </w:p>
    <w:p>
      <w:pPr>
        <w:spacing w:after="0" w:line="201" w:lineRule="exact"/>
        <w:rPr>
          <w:rFonts w:ascii="Times New Roman" w:cs="Times New Roman" w:eastAsia="Times New Roman" w:hAnsi="Times New Roman"/>
          <w:sz w:val="17"/>
          <w:szCs w:val="17"/>
          <w:color w:val="auto"/>
        </w:rPr>
      </w:pPr>
    </w:p>
    <w:p>
      <w:pPr>
        <w:jc w:val="both"/>
        <w:ind w:firstLine="8"/>
        <w:spacing w:after="0" w:line="250" w:lineRule="auto"/>
        <w:tabs>
          <w:tab w:leader="none" w:pos="3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i w:val="1"/>
          <w:iCs w:val="1"/>
          <w:color w:val="auto"/>
        </w:rPr>
        <w:t>FAST</w:t>
      </w:r>
      <w:r>
        <w:rPr>
          <w:rFonts w:ascii="Times New Roman" w:cs="Times New Roman" w:eastAsia="Times New Roman" w:hAnsi="Times New Roman"/>
          <w:sz w:val="18"/>
          <w:szCs w:val="18"/>
          <w:color w:val="auto"/>
        </w:rPr>
        <w:t xml:space="preserve">”), credit such aggregate number of Warrant Shares or Pre-Funded Warrants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as elected by the Holder, a certificate or evidence of a credit of book entry shares, registered in the name of the Holder or its designee, for the number of Warrant Shares or Pre-Funded Warrants to which the Holder is entitled pursuant to such exercise. The Company shall be responsible for all fees and expenses of the Transfer Agent and all fees and expenses with respect to the issuance of Warrant Shares or Pre-Funded Warrants via DTC, if any. Upon delivery of the Exercise Notice, the Holder shall be deemed solely for purposes of Regulation SHO to have become the holder of record and beneficial owner of the Warrant Shares or Pre-Funded Warrants with respect to which this Warrant has been exercised, irrespective of the date such Warrant Shares or Pre-Funded Warrants are credited to the Holder’s DTC account or the date of delivery of the certificates evidencing such Warrant Shares or Pre-Funded Warrants, as the case may be, provided that payment of the Aggregate Exercise Price (other than in the case of a Cashless Exercise) is received on or prior to the first (1st) Trading Day following the date on which the Exercise Notice has been delivered to the Company.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deliver Warrant Shares or Pre-Funded Warrants with respect to an exercise prior to the Holder’s delivery of the Aggregate Exercise Price with respect to such exercise.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firstLine="1304"/>
        <w:spacing w:after="0" w:line="286" w:lineRule="auto"/>
        <w:tabs>
          <w:tab w:leader="none" w:pos="17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$3.14 per share for Warrant Shares and $3.139 per share for Pre-Funded Warrants, subject to adjustment as provided herein.</w:t>
      </w:r>
    </w:p>
    <w:p>
      <w:pPr>
        <w:spacing w:after="0" w:line="158" w:lineRule="exact"/>
        <w:rPr>
          <w:rFonts w:ascii="Times New Roman" w:cs="Times New Roman" w:eastAsia="Times New Roman" w:hAnsi="Times New Roman"/>
          <w:sz w:val="18"/>
          <w:szCs w:val="18"/>
          <w:color w:val="auto"/>
        </w:rPr>
      </w:pPr>
    </w:p>
    <w:p>
      <w:pPr>
        <w:jc w:val="both"/>
        <w:ind w:right="20" w:firstLine="1304"/>
        <w:spacing w:after="0" w:line="258" w:lineRule="auto"/>
        <w:tabs>
          <w:tab w:leader="none" w:pos="17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herein to the contrary, if following the date that is six (6) months following the Issuance Date of this Warrant, a registration statement covering the issuance of the Exercise Notice Warrant Shares (as defined in Section 1(d)) is not available for the issuance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1304"/>
        <w:spacing w:after="0" w:line="252" w:lineRule="auto"/>
        <w:tabs>
          <w:tab w:leader="none" w:pos="171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either (I) the Company shall fail for any reason or for no reason to issue to the Holder on or prior to the applicable Delivery Date, if (x) the Transfer Agent is not participating in FAST,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or (II) a registration statement covering the issuance or resale of the Warrant Shares or Pre-Funded Warrants that are the subject of the Exercise Notice (the “</w:t>
      </w:r>
      <w:r>
        <w:rPr>
          <w:rFonts w:ascii="Times New Roman" w:cs="Times New Roman" w:eastAsia="Times New Roman" w:hAnsi="Times New Roman"/>
          <w:sz w:val="18"/>
          <w:szCs w:val="18"/>
          <w:b w:val="1"/>
          <w:bCs w:val="1"/>
          <w:i w:val="1"/>
          <w:iCs w:val="1"/>
          <w:color w:val="auto"/>
        </w:rPr>
        <w:t>Exercise Notice Warrant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Exercise Notice Pre-Funded Warrants</w:t>
      </w:r>
      <w:r>
        <w:rPr>
          <w:rFonts w:ascii="Times New Roman" w:cs="Times New Roman" w:eastAsia="Times New Roman" w:hAnsi="Times New Roman"/>
          <w:sz w:val="18"/>
          <w:szCs w:val="18"/>
          <w:color w:val="auto"/>
        </w:rPr>
        <w:t>”, as applicable) is not available for the issuance or resale, as applicable, of such Exercise Notice Warrant Shares or Exercise Notice Pre-Funded Warrants and (x) the Company fails to promptly, but in no event later than one (1) Business Day after such registration statement becomes unavailable, to so notify the Holder and (y) the Company is unable to deliver the Exercise Notice Warrant Shares or Exercise Notice Pre-Funded Warrants electronically without any restrictive legend by crediting such aggregate number of Exercise Notice Warrant Shares or Exercise Notice Pre-Funded Warrants to the Holder’s or its designee’s balance account with DTC through its Deposit / Withdrawal At Custodian system (the event described in the immediately foregoing clause (II) together with the event described in clause (I) above, an “</w:t>
      </w:r>
      <w:r>
        <w:rPr>
          <w:rFonts w:ascii="Times New Roman" w:cs="Times New Roman" w:eastAsia="Times New Roman" w:hAnsi="Times New Roman"/>
          <w:sz w:val="18"/>
          <w:szCs w:val="18"/>
          <w:b w:val="1"/>
          <w:bCs w:val="1"/>
          <w:i w:val="1"/>
          <w:iCs w:val="1"/>
          <w:color w:val="auto"/>
        </w:rPr>
        <w:t>Exercise Failure</w:t>
      </w:r>
      <w:r>
        <w:rPr>
          <w:rFonts w:ascii="Times New Roman" w:cs="Times New Roman" w:eastAsia="Times New Roman" w:hAnsi="Times New Roman"/>
          <w:sz w:val="18"/>
          <w:szCs w:val="18"/>
          <w:color w:val="auto"/>
        </w:rPr>
        <w:t>”), then, in addition to all other remedies available to the Holder, if on or prior to the applicable Delivery Date either</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FAST, the Company shall fail to issue and deliver, as elected by the Holder, a certificate or evidence of a book entry credit to the Holder and register such shares of Common Stock on the Company’s share register or, if the Transfer Agent is participating in FAST, credit the Holder’s balance account with DTC for the number of shares of Common Stock to which the Holder is entitled upon the Holder’s exercise hereunder or pursuant to the Company’s obligation pursuant to clause (ii) below or (II) if an Exercise Failure occurs, and if after such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rescission of an exercise shall not affect the Company’s obligation to make any payments that have accrued prior to the date of such notice pursuant to this Section 1(d) or otherwise, and (ii) if a registration statement covering the issuance or resale of the Warrant Shares or Pre-Funded Warrants that are subject to an Exercise Notice is not available for the issuance or resale, as applicable, of such Exercise Notice Warrant Shares or Exercise Notice Pre-Funded Warrants and the Holder has submitted an Exercise Notice prior to receiving notice of the non-availability of such registration statement and the Company has not already delivered the Warrant Shares or Pre-Funded Warrants underlying such Exercise Notice electronically without any restrictive legend by crediting such aggregate number of Warrant Shares or Pre-Funded Warrants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rescission of an Exercise Notice shall not affect the Company’s obligation to make any payments that have accrued prior to the date of such notice pursuant to this Section 1(d) or otherwise and/or switch some or all of such Exercise Notice from a cash exercise to a Cashless Exercise.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1304"/>
        <w:spacing w:after="0" w:line="266" w:lineRule="auto"/>
        <w:tabs>
          <w:tab w:leader="none" w:pos="16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applicable Exercise Price or the arithmetic calculation of the Warrant Shares or Pre-Funded Warrants, the Company shall promptly issue to the Holder the number of Warrant Shares or Pre-Funded Warrants that are not disputed and resolve such dispute in accordance with Section 11.</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3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[4.99][9.99][19.99]%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 notice to the Company, the Holder may from time to time terminate, increase or decrease the Maximum Percentage to any other percentage as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1952"/>
        <w:spacing w:after="0" w:line="252" w:lineRule="auto"/>
        <w:tabs>
          <w:tab w:leader="none" w:pos="23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as the case may be, (y) a more recent public announcement by the Company or (z) any other written notice by the Company or the Transfer Agent setting forth the number of shares of Common Stock outstanding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and in any event, within five (5) Trading Days, the Company shall return to the Holder any Exercise Price paid by the Holder for the Reduction Shares in excess of the Exercise Price for the Pre-Funded Warrants issued to the Holder.</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1952"/>
        <w:spacing w:after="0" w:line="251" w:lineRule="auto"/>
        <w:tabs>
          <w:tab w:leader="none" w:pos="23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obtains the approval of its stockholders as required by the applicable rules of the applicable Principal Market for issuances of Common Stock in excess of such amount, the Company shall not effect any exercise of this Warrant, and the Holder shall not have the right to exercise any portion of this Warrant, pursuant to Section 1 or otherwise, to the extent that after giving effect to such issuance after exercise as set forth on the applicable Exercise Notice, the Holder, together with the Attribution Parties, would beneficially own in excess of the Primary Market Limitation (as defined below</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are issuable upon (i) exercise of the remaining, nonexercised portion of this Warrant beneficially owned by such Holder or any of its Affiliates or Attribution Parties and (ii) exercise or conversion of the unexercised or unconverted portion of any other securities of the Company (including, without limitation, any other Common Stock Equivalents) held by such Holder or any of its Affiliates or Attribution Parties, but for a limitation on conversion or exercise analogous to the limitation contained herein. Except as set forth in the preceding sentence, for purposes of this Section 1(e)(4), beneficial ownership shall be calculated in accordance with Section 13(d) of the 1934 Act and the rules and regulations promulgated thereunder, it being acknowledged by the Holder that the Company is not representing to the Holder that such calculation is in compliance with Section 13(d) of the 1934 Act and the Holder is solely responsible for any schedules required to be filed in accordance therewith (other than as it relates to a Holder relying on the number of shares issued and outstanding as provided by the Company pursuant to this Section 1(e)(4)). To the extent that the limitation contained in this Section 1(f)(4) applies, the determination of whether this Warrant is exercisable (in relation to other securities owned by the Holder together with any Attribution Parties) and of which portion of this Warrant is exercisable shall be in the sole discretion of the Company. A determination as to any group status as contemplated above shall be determined in accordance with Section 13(d) of the 1934 Act and the rules and regulations promulgated thereunder in the sole discretion of the Holder or Holders. Upon the written or oral request (which may be via email) of a Holder, the Company shall within one Trading Day confirm orally and in writing to such Holder the number of shares of Common Stock then outstanding. The “</w:t>
      </w:r>
      <w:r>
        <w:rPr>
          <w:rFonts w:ascii="Times New Roman" w:cs="Times New Roman" w:eastAsia="Times New Roman" w:hAnsi="Times New Roman"/>
          <w:sz w:val="18"/>
          <w:szCs w:val="18"/>
          <w:b w:val="1"/>
          <w:bCs w:val="1"/>
          <w:i w:val="1"/>
          <w:iCs w:val="1"/>
          <w:color w:val="auto"/>
        </w:rPr>
        <w:t>Primary Market Limitation</w:t>
      </w:r>
      <w:r>
        <w:rPr>
          <w:rFonts w:ascii="Times New Roman" w:cs="Times New Roman" w:eastAsia="Times New Roman" w:hAnsi="Times New Roman"/>
          <w:sz w:val="18"/>
          <w:szCs w:val="18"/>
          <w:color w:val="auto"/>
        </w:rPr>
        <w:t>” shall be 19.99% of the number of shares of the Common Stock outstanding immediately before giving effect to the issuance of shares of Common Stock issuable upon exercise of this Warrant. The limitations contained in this paragraph shall apply to a successor holder of this Warrant.</w:t>
      </w:r>
    </w:p>
    <w:p>
      <w:pPr>
        <w:spacing w:after="0" w:line="20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8"/>
          <w:szCs w:val="18"/>
          <w:b w:val="1"/>
          <w:bCs w:val="1"/>
          <w:i w:val="1"/>
          <w:iCs w:val="1"/>
          <w:color w:val="auto"/>
        </w:rPr>
        <w:t>Required Reserve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8"/>
          <w:szCs w:val="18"/>
          <w:b w:val="1"/>
          <w:bCs w:val="1"/>
          <w:i w:val="1"/>
          <w:i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1304"/>
        <w:spacing w:after="0" w:line="253" w:lineRule="auto"/>
        <w:tabs>
          <w:tab w:leader="none" w:pos="17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8"/>
          <w:szCs w:val="18"/>
          <w:b w:val="1"/>
          <w:bCs w:val="1"/>
          <w:i w:val="1"/>
          <w:iCs w:val="1"/>
          <w:color w:val="auto"/>
        </w:rPr>
        <w:t>Authorized Share Failure</w:t>
      </w:r>
      <w:r>
        <w:rPr>
          <w:rFonts w:ascii="Times New Roman" w:cs="Times New Roman" w:eastAsia="Times New Roman" w:hAnsi="Times New Roman"/>
          <w:sz w:val="18"/>
          <w:szCs w:val="18"/>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 OR PRE-FUNDED WARRANTS</w:t>
      </w:r>
      <w:r>
        <w:rPr>
          <w:rFonts w:ascii="Times New Roman" w:cs="Times New Roman" w:eastAsia="Times New Roman" w:hAnsi="Times New Roman"/>
          <w:sz w:val="18"/>
          <w:szCs w:val="18"/>
          <w:color w:val="auto"/>
        </w:rPr>
        <w:t>. The Exercise Price and the number of Warrant Shares or Pre-Funded Warrants shall be adjusted from time to time as follows:</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Common Stock</w:t>
      </w:r>
      <w:r>
        <w:rPr>
          <w:rFonts w:ascii="Times New Roman" w:cs="Times New Roman" w:eastAsia="Times New Roman" w:hAnsi="Times New Roman"/>
          <w:sz w:val="18"/>
          <w:szCs w:val="18"/>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1304"/>
        <w:spacing w:after="0" w:line="258" w:lineRule="auto"/>
        <w:tabs>
          <w:tab w:leader="none" w:pos="167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adjustment pursuant to this Section 2(c) will increase the Exercise Price or decrease the number of Warrant Shares as otherwise determined pursuant to this Section 2.</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and Primary Market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or Primary Market Limitation,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or Primary Market Limitation,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8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7"/>
          <w:szCs w:val="17"/>
          <w:b w:val="1"/>
          <w:bCs w:val="1"/>
          <w:i w:val="1"/>
          <w:iCs w:val="1"/>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and Primary Market Limitation)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and the other Attribution Parties exceeding the Maximum Percentage or Primary Market Limitation,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or Primary Market Limitation,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1304"/>
        <w:spacing w:after="0" w:line="251" w:lineRule="auto"/>
        <w:tabs>
          <w:tab w:leader="none" w:pos="17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the Transaction Documents, including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1(e)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i w:val="1"/>
          <w:i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56"/>
        <w:spacing w:after="0" w:line="253" w:lineRule="auto"/>
        <w:tabs>
          <w:tab w:leader="none" w:pos="10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0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or Pre-Funded Warrants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Without limiting any rights of a Holder to receive Warrant Shares or Pre-Funded Warrants on a “Cashless Exercise” pursuant to Section 1(c) or to receive cash payments pursuant to Section 1(d) herein, in no event shall the Company be required to net cash settle an exercise of this Warrant.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6"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3"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 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3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issuance date, as indicated on the face of such new Warrant which is the same as the Issuance Date, and (iv) shall have the same rights and conditions as this Warrant.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656"/>
        <w:spacing w:after="0" w:line="254" w:lineRule="auto"/>
        <w:tabs>
          <w:tab w:leader="none" w:pos="10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w:t>
      </w:r>
    </w:p>
    <w:p>
      <w:pPr>
        <w:spacing w:after="0" w:line="18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John Alam, M.D.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firstLine="644"/>
        <w:spacing w:after="0" w:line="282" w:lineRule="auto"/>
        <w:tabs>
          <w:tab w:leader="none" w:pos="20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such address or other contact information delivered by the Holder to the Company or as is on the books and records of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89" w:lineRule="exact"/>
        <w:rPr>
          <w:sz w:val="20"/>
          <w:szCs w:val="20"/>
          <w:color w:val="auto"/>
        </w:rPr>
      </w:pPr>
    </w:p>
    <w:p>
      <w:pPr>
        <w:jc w:val="both"/>
        <w:ind w:firstLine="656"/>
        <w:spacing w:after="0" w:line="266" w:lineRule="auto"/>
        <w:tabs>
          <w:tab w:leader="none" w:pos="10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656"/>
        <w:spacing w:after="0" w:line="25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8"/>
          <w:szCs w:val="18"/>
          <w:b w:val="1"/>
          <w:bCs w:val="1"/>
          <w:color w:val="auto"/>
        </w:rPr>
        <w:t>THE COMPANY HEREBY IRREVOCABLY</w:t>
      </w:r>
    </w:p>
    <w:p>
      <w:pPr>
        <w:spacing w:after="0" w:line="10"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WAIVES ANY RIGHT IT MAY HAVE,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or Pre-Funded Warrants,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firstLine="656"/>
        <w:spacing w:after="0" w:line="282" w:lineRule="auto"/>
        <w:tabs>
          <w:tab w:leader="none" w:pos="109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or Pre-Funded Warrants may be offered for sale, sold, transferred, pledged or assigned without the consent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CONSTRUCTION; HEADINGS</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8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1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1304"/>
        <w:spacing w:after="0" w:line="259" w:lineRule="auto"/>
        <w:tabs>
          <w:tab w:leader="none" w:pos="17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16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8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ind w:firstLine="1304"/>
        <w:spacing w:after="0" w:line="286" w:lineRule="auto"/>
        <w:tabs>
          <w:tab w:leader="none" w:pos="16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2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0" w:lineRule="exact"/>
        <w:rPr>
          <w:rFonts w:ascii="Times New Roman" w:cs="Times New Roman" w:eastAsia="Times New Roman" w:hAnsi="Times New Roman"/>
          <w:sz w:val="18"/>
          <w:szCs w:val="18"/>
          <w:color w:val="auto"/>
        </w:rPr>
      </w:pPr>
    </w:p>
    <w:p>
      <w:pPr>
        <w:ind w:right="20" w:firstLine="1304"/>
        <w:spacing w:after="0" w:line="286" w:lineRule="auto"/>
        <w:tabs>
          <w:tab w:leader="none" w:pos="171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6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Market</w:t>
      </w:r>
      <w:r>
        <w:rPr>
          <w:rFonts w:ascii="Times New Roman" w:cs="Times New Roman" w:eastAsia="Times New Roman" w:hAnsi="Times New Roman"/>
          <w:sz w:val="18"/>
          <w:szCs w:val="18"/>
          <w:color w:val="auto"/>
        </w:rPr>
        <w:t>” means The Nasdaq Capital Market, the NYSE American LLC, The Nasdaq Global Select Market, The Nasdaq Global Market or The New York Stock Exchange, Inc.</w:t>
      </w:r>
    </w:p>
    <w:p>
      <w:pPr>
        <w:spacing w:after="0" w:line="154"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June 11, 2027.</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71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ind w:left="1640" w:hanging="356"/>
        <w:spacing w:after="0"/>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1934 Act, and all related rules, regulations and jurisprudence.</w:t>
      </w:r>
    </w:p>
    <w:p>
      <w:pPr>
        <w:spacing w:after="0" w:line="225" w:lineRule="exact"/>
        <w:rPr>
          <w:rFonts w:ascii="Times New Roman" w:cs="Times New Roman" w:eastAsia="Times New Roman" w:hAnsi="Times New Roman"/>
          <w:sz w:val="18"/>
          <w:szCs w:val="18"/>
          <w:color w:val="auto"/>
        </w:rPr>
      </w:pPr>
    </w:p>
    <w:p>
      <w:pPr>
        <w:ind w:left="1720" w:hanging="436"/>
        <w:spacing w:after="0"/>
        <w:tabs>
          <w:tab w:leader="none" w:pos="1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9" w:lineRule="auto"/>
        <w:tabs>
          <w:tab w:leader="none" w:pos="16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79" w:lineRule="exact"/>
        <w:rPr>
          <w:rFonts w:ascii="Times New Roman" w:cs="Times New Roman" w:eastAsia="Times New Roman" w:hAnsi="Times New Roman"/>
          <w:sz w:val="18"/>
          <w:szCs w:val="18"/>
          <w:color w:val="auto"/>
        </w:rPr>
      </w:pPr>
    </w:p>
    <w:p>
      <w:pPr>
        <w:ind w:left="-20" w:firstLine="1304"/>
        <w:spacing w:after="0" w:line="286" w:lineRule="auto"/>
        <w:tabs>
          <w:tab w:leader="none" w:pos="17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left="-20" w:firstLine="1304"/>
        <w:spacing w:after="0" w:line="286" w:lineRule="auto"/>
        <w:tabs>
          <w:tab w:leader="none" w:pos="167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Issuance Date, is The Nasdaq Capital Market.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74" w:name="page75"/>
    <w:bookmarkEnd w:id="74"/>
    <w:p>
      <w:pPr>
        <w:ind w:firstLine="1304"/>
        <w:spacing w:after="0" w:line="286" w:lineRule="auto"/>
        <w:tabs>
          <w:tab w:leader="none" w:pos="17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Holders</w:t>
      </w:r>
      <w:r>
        <w:rPr>
          <w:rFonts w:ascii="Times New Roman" w:cs="Times New Roman" w:eastAsia="Times New Roman" w:hAnsi="Times New Roman"/>
          <w:sz w:val="18"/>
          <w:szCs w:val="18"/>
          <w:color w:val="auto"/>
        </w:rPr>
        <w:t>” means the holders of this Warrant and the Other Warrants representing at least a majority of the shares of Common Stock underlying this Warrant and the Other Warrants then outstanding.</w:t>
      </w:r>
    </w:p>
    <w:p>
      <w:pPr>
        <w:spacing w:after="0" w:line="154" w:lineRule="exact"/>
        <w:rPr>
          <w:rFonts w:ascii="Times New Roman" w:cs="Times New Roman" w:eastAsia="Times New Roman" w:hAnsi="Times New Roman"/>
          <w:sz w:val="18"/>
          <w:szCs w:val="18"/>
          <w:color w:val="auto"/>
        </w:rPr>
      </w:pPr>
    </w:p>
    <w:p>
      <w:pPr>
        <w:ind w:right="20" w:firstLine="1304"/>
        <w:spacing w:after="0" w:line="286" w:lineRule="auto"/>
        <w:tabs>
          <w:tab w:leader="none" w:pos="17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Market with respect to the Common Stock that is in effect on the date of delivery of an applicable Exercise Notice.</w:t>
      </w:r>
    </w:p>
    <w:p>
      <w:pPr>
        <w:spacing w:after="0" w:line="154"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70"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Market is normally open for trading.</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8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Warrant, that certain Securities Purchase Agreement, dated June 9, 2026, by and between the Company and the purchasers set forth therein, and any agreement entered into by and between the Company and the Holder, as applicable, in connection with such agreements.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4942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and/or pre-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warrants to purchase ________________ shares of Common Stock at a purchase price of $0.001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of CervoMed Inc., a</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company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evidenced by the attached Series C Warrant to Purchase Common Stock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840" w:hanging="184"/>
        <w:spacing w:after="0"/>
        <w:tabs>
          <w:tab w:leader="none" w:pos="8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The Holder intends that payment of the Exercise Price shall be made with respect to _________________ Warrant Shares and/or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_______________ Pre-Funded Warrants.</w:t>
      </w:r>
    </w:p>
    <w:p>
      <w:pPr>
        <w:spacing w:after="0" w:line="206" w:lineRule="exact"/>
        <w:rPr>
          <w:rFonts w:ascii="Times New Roman" w:cs="Times New Roman" w:eastAsia="Times New Roman" w:hAnsi="Times New Roman"/>
          <w:sz w:val="17"/>
          <w:szCs w:val="17"/>
          <w:color w:val="auto"/>
        </w:rPr>
      </w:pPr>
    </w:p>
    <w:p>
      <w:pPr>
        <w:ind w:firstLine="656"/>
        <w:spacing w:after="0" w:line="282" w:lineRule="auto"/>
        <w:tabs>
          <w:tab w:leader="none" w:pos="8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The Holder shall pay the Aggregate Exercise Price in the sum of $___________________ to the Company in accordance with the terms of the Warrant and/or, in lieu of cash payment, a “Cashless Exercise” with respect to __________ Warrant Shares.</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and/or Pre-Funded Warrants. The Company shall deliver to the holder _______________ Warrant Shares and/or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Pre-Funded Warrants in accordance with the terms of the Warrant.</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_______________ __, 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-7620</wp:posOffset>
            </wp:positionV>
            <wp:extent cx="14852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 SECURITIES EVIDENCED BY THIS CERTIFICATE HAVE NOT BEEN REGISTERED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OR ANY OTHER APPLICABLE SECURITIES LAWS AND HAVE BEEN ISSUED IN RELIANCE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Number of Shares: [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7"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8"/>
          <w:szCs w:val="18"/>
          <w:color w:val="auto"/>
        </w:rPr>
        <w:t>Warrant No. [ • ]</w:t>
      </w:r>
      <w:r>
        <w:rPr>
          <w:sz w:val="20"/>
          <w:szCs w:val="20"/>
          <w:color w:val="auto"/>
        </w:rPr>
        <w:tab/>
      </w:r>
      <w:r>
        <w:rPr>
          <w:rFonts w:ascii="Times New Roman" w:cs="Times New Roman" w:eastAsia="Times New Roman" w:hAnsi="Times New Roman"/>
          <w:sz w:val="18"/>
          <w:szCs w:val="18"/>
          <w:color w:val="auto"/>
        </w:rPr>
        <w:t>Original Issue Date: [ • ], 202_</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CervoMed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 or its registered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an exercise price per share equal to $0.001 per share (as adjusted from time to time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3" w:lineRule="exact"/>
        <w:rPr>
          <w:sz w:val="20"/>
          <w:szCs w:val="20"/>
          <w:color w:val="auto"/>
        </w:rPr>
      </w:pPr>
    </w:p>
    <w:p>
      <w:pPr>
        <w:ind w:right="4520" w:firstLine="656"/>
        <w:spacing w:after="0" w:line="286" w:lineRule="auto"/>
        <w:tabs>
          <w:tab w:leader="none" w:pos="118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Capital Market.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ind w:left="1360" w:hanging="542"/>
        <w:spacing w:after="0"/>
        <w:tabs>
          <w:tab w:leader="none" w:pos="13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ownership of this Warrant, upon records to be 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6" w:lineRule="exact"/>
        <w:rPr>
          <w:sz w:val="20"/>
          <w:szCs w:val="20"/>
          <w:color w:val="auto"/>
        </w:rPr>
      </w:pPr>
    </w:p>
    <w:p>
      <w:pPr>
        <w:ind w:left="1360" w:hanging="542"/>
        <w:spacing w:after="0"/>
        <w:tabs>
          <w:tab w:leader="none" w:pos="13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90" w:lineRule="exact"/>
        <w:rPr>
          <w:sz w:val="20"/>
          <w:szCs w:val="20"/>
          <w:color w:val="auto"/>
        </w:rPr>
      </w:pPr>
    </w:p>
    <w:p>
      <w:pPr>
        <w:ind w:left="1360" w:hanging="542"/>
        <w:spacing w:after="0"/>
        <w:tabs>
          <w:tab w:leader="none" w:pos="13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73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360" w:hanging="542"/>
        <w:spacing w:after="0"/>
        <w:tabs>
          <w:tab w:leader="none" w:pos="136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70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1"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304"/>
        <w:spacing w:after="0" w:line="254" w:lineRule="auto"/>
        <w:tabs>
          <w:tab w:leader="none" w:pos="176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rFonts w:ascii="Times New Roman" w:cs="Times New Roman" w:eastAsia="Times New Roman" w:hAnsi="Times New Roman"/>
          <w:sz w:val="18"/>
          <w:szCs w:val="18"/>
          <w:color w:val="auto"/>
        </w:rPr>
      </w:pPr>
    </w:p>
    <w:p>
      <w:pPr>
        <w:jc w:val="both"/>
        <w:ind w:firstLine="656"/>
        <w:spacing w:after="0" w:line="257" w:lineRule="auto"/>
        <w:tabs>
          <w:tab w:leader="none" w:pos="1287"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the Warrant Shares upon exercise of this Warrant shall be made without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44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34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firstLine="656"/>
        <w:spacing w:after="0" w:line="286" w:lineRule="auto"/>
        <w:tabs>
          <w:tab w:leader="none" w:pos="124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left="80" w:firstLine="1296"/>
        <w:spacing w:after="0" w:line="253" w:lineRule="auto"/>
        <w:tabs>
          <w:tab w:leader="none" w:pos="175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9" w:lineRule="exact"/>
        <w:rPr>
          <w:rFonts w:ascii="Times New Roman" w:cs="Times New Roman" w:eastAsia="Times New Roman" w:hAnsi="Times New Roman"/>
          <w:sz w:val="18"/>
          <w:szCs w:val="18"/>
          <w:color w:val="auto"/>
        </w:rPr>
      </w:pPr>
    </w:p>
    <w:p>
      <w:pPr>
        <w:jc w:val="both"/>
        <w:ind w:left="80" w:firstLine="1296"/>
        <w:spacing w:after="0" w:line="252" w:lineRule="auto"/>
        <w:tabs>
          <w:tab w:leader="none" w:pos="180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242"/>
        <w:spacing w:after="0" w:line="252" w:lineRule="auto"/>
        <w:tabs>
          <w:tab w:leader="none" w:pos="167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jc w:val="both"/>
        <w:ind w:firstLine="1242"/>
        <w:spacing w:after="0" w:line="255" w:lineRule="auto"/>
        <w:tabs>
          <w:tab w:leader="none" w:pos="164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2" w:lineRule="exact"/>
        <w:rPr>
          <w:rFonts w:ascii="Times New Roman" w:cs="Times New Roman" w:eastAsia="Times New Roman" w:hAnsi="Times New Roman"/>
          <w:sz w:val="18"/>
          <w:szCs w:val="18"/>
          <w:color w:val="auto"/>
        </w:rPr>
      </w:pPr>
    </w:p>
    <w:p>
      <w:pPr>
        <w:jc w:val="both"/>
        <w:spacing w:after="0" w:line="250" w:lineRule="auto"/>
        <w:tabs>
          <w:tab w:leader="none" w:pos="32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w:t>
      </w:r>
    </w:p>
    <w:p>
      <w:pPr>
        <w:jc w:val="both"/>
        <w:spacing w:after="0" w:line="251" w:lineRule="auto"/>
        <w:tabs>
          <w:tab w:leader="none" w:pos="3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200660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left="80" w:firstLine="1242"/>
        <w:spacing w:after="0" w:line="261" w:lineRule="auto"/>
        <w:tabs>
          <w:tab w:leader="none" w:pos="17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1780" w:hanging="458"/>
        <w:spacing w:after="0"/>
        <w:tabs>
          <w:tab w:leader="none" w:pos="17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w:t>
      </w:r>
    </w:p>
    <w:p>
      <w:pPr>
        <w:spacing w:after="0" w:line="2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jc w:val="both"/>
        <w:ind w:left="80" w:firstLine="1242"/>
        <w:spacing w:after="0" w:line="256" w:lineRule="auto"/>
        <w:tabs>
          <w:tab w:leader="none" w:pos="172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(5)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560" w:hanging="670"/>
        <w:spacing w:after="0"/>
        <w:tabs>
          <w:tab w:leader="none" w:pos="15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0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ind w:left="1380"/>
        <w:spacing w:after="0"/>
        <w:tabs>
          <w:tab w:leader="none" w:pos="1960" w:val="left"/>
        </w:tabs>
        <w:rPr>
          <w:sz w:val="20"/>
          <w:szCs w:val="20"/>
          <w:color w:val="auto"/>
        </w:rPr>
      </w:pPr>
      <w:r>
        <w:rPr>
          <w:rFonts w:ascii="Times New Roman" w:cs="Times New Roman" w:eastAsia="Times New Roman" w:hAnsi="Times New Roman"/>
          <w:sz w:val="18"/>
          <w:szCs w:val="18"/>
          <w:color w:val="auto"/>
        </w:rPr>
        <w:t>“AA”</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“C”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320" w:hanging="664"/>
        <w:spacing w:after="0"/>
        <w:tabs>
          <w:tab w:leader="none" w:pos="132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1" w:lineRule="auto"/>
        <w:tabs>
          <w:tab w:leader="none" w:pos="2063"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(1)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w:t>
      </w:r>
    </w:p>
    <w:p>
      <w:pPr>
        <w:spacing w:after="0" w:line="7" w:lineRule="exact"/>
        <w:rPr>
          <w:rFonts w:ascii="Times New Roman" w:cs="Times New Roman" w:eastAsia="Times New Roman" w:hAnsi="Times New Roman"/>
          <w:sz w:val="18"/>
          <w:szCs w:val="18"/>
          <w:color w:val="auto"/>
        </w:rPr>
      </w:pPr>
    </w:p>
    <w:p>
      <w:pPr>
        <w:jc w:val="both"/>
        <w:ind w:firstLine="8"/>
        <w:spacing w:after="0" w:line="251" w:lineRule="auto"/>
        <w:tabs>
          <w:tab w:leader="none" w:pos="2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and shall not negatively affect any partial exercise effected prior to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304"/>
        <w:spacing w:after="0" w:line="253" w:lineRule="auto"/>
        <w:tabs>
          <w:tab w:leader="none" w:pos="19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7" w:lineRule="exact"/>
        <w:rPr>
          <w:rFonts w:ascii="Times New Roman" w:cs="Times New Roman" w:eastAsia="Times New Roman" w:hAnsi="Times New Roman"/>
          <w:sz w:val="18"/>
          <w:szCs w:val="18"/>
          <w:color w:val="auto"/>
        </w:rPr>
      </w:pPr>
    </w:p>
    <w:p>
      <w:pPr>
        <w:jc w:val="both"/>
        <w:ind w:firstLine="728"/>
        <w:spacing w:after="0" w:line="268" w:lineRule="auto"/>
        <w:tabs>
          <w:tab w:leader="none" w:pos="1543"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0" w:lineRule="exact"/>
        <w:rPr>
          <w:rFonts w:ascii="Times New Roman" w:cs="Times New Roman" w:eastAsia="Times New Roman" w:hAnsi="Times New Roman"/>
          <w:sz w:val="18"/>
          <w:szCs w:val="18"/>
          <w:b w:val="1"/>
          <w:bCs w:val="1"/>
          <w:color w:val="auto"/>
        </w:rPr>
      </w:pPr>
    </w:p>
    <w:p>
      <w:pPr>
        <w:jc w:val="both"/>
        <w:ind w:firstLine="728"/>
        <w:spacing w:after="0" w:line="256" w:lineRule="auto"/>
        <w:tabs>
          <w:tab w:leader="none" w:pos="142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2" w:lineRule="exact"/>
        <w:rPr>
          <w:rFonts w:ascii="Times New Roman" w:cs="Times New Roman" w:eastAsia="Times New Roman" w:hAnsi="Times New Roman"/>
          <w:sz w:val="18"/>
          <w:szCs w:val="18"/>
          <w:b w:val="1"/>
          <w:bCs w:val="1"/>
          <w:color w:val="auto"/>
        </w:rPr>
      </w:pPr>
    </w:p>
    <w:p>
      <w:pPr>
        <w:jc w:val="both"/>
        <w:ind w:left="80" w:firstLine="648"/>
        <w:spacing w:after="0" w:line="257" w:lineRule="auto"/>
        <w:tabs>
          <w:tab w:leader="none" w:pos="1619"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thirty (30) days’ notice to the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1400" w:hanging="672"/>
        <w:spacing w:after="0"/>
        <w:tabs>
          <w:tab w:leader="none" w:pos="140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0" w:firstLine="1296"/>
        <w:spacing w:after="0" w:line="254" w:lineRule="auto"/>
        <w:tabs>
          <w:tab w:leader="none" w:pos="178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1760" w:hanging="384"/>
        <w:spacing w:after="0"/>
        <w:tabs>
          <w:tab w:leader="none" w:pos="1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0" w:firstLine="1890"/>
        <w:spacing w:after="0" w:line="254" w:lineRule="auto"/>
        <w:tabs>
          <w:tab w:leader="none" w:pos="2337"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1952"/>
        <w:spacing w:after="0" w:line="266" w:lineRule="auto"/>
        <w:tabs>
          <w:tab w:leader="none" w:pos="257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jc w:val="both"/>
        <w:ind w:left="80" w:firstLine="1296"/>
        <w:spacing w:after="0" w:line="256" w:lineRule="auto"/>
        <w:tabs>
          <w:tab w:leader="none" w:pos="17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1296"/>
        <w:spacing w:after="0" w:line="266" w:lineRule="auto"/>
        <w:tabs>
          <w:tab w:leader="none" w:pos="171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1700" w:hanging="404"/>
        <w:spacing w:after="0"/>
        <w:tabs>
          <w:tab w:leader="none" w:pos="17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206" w:lineRule="exact"/>
        <w:rPr>
          <w:rFonts w:ascii="Times New Roman" w:cs="Times New Roman" w:eastAsia="Times New Roman" w:hAnsi="Times New Roman"/>
          <w:sz w:val="18"/>
          <w:szCs w:val="18"/>
          <w:color w:val="auto"/>
        </w:rPr>
      </w:pPr>
    </w:p>
    <w:p>
      <w:pPr>
        <w:jc w:val="both"/>
        <w:ind w:firstLine="1296"/>
        <w:spacing w:after="0" w:line="252" w:lineRule="auto"/>
        <w:tabs>
          <w:tab w:leader="none" w:pos="172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w:t>
      </w:r>
    </w:p>
    <w:p>
      <w:pPr>
        <w:spacing w:after="0" w:line="197" w:lineRule="exact"/>
        <w:rPr>
          <w:rFonts w:ascii="Times New Roman" w:cs="Times New Roman" w:eastAsia="Times New Roman" w:hAnsi="Times New Roman"/>
          <w:sz w:val="18"/>
          <w:szCs w:val="18"/>
          <w:color w:val="auto"/>
        </w:rPr>
      </w:pPr>
    </w:p>
    <w:p>
      <w:pPr>
        <w:ind w:firstLine="1296"/>
        <w:spacing w:after="0" w:line="282" w:lineRule="auto"/>
        <w:tabs>
          <w:tab w:leader="none" w:pos="16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1296"/>
        <w:spacing w:after="0" w:line="261" w:lineRule="auto"/>
        <w:tabs>
          <w:tab w:leader="none" w:pos="16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225425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17" w:right="339" w:bottom="1440" w:gutter="0" w:footer="0" w:header="0"/>
        </w:sectPr>
      </w:pPr>
    </w:p>
    <w:bookmarkStart w:id="90" w:name="page91"/>
    <w:bookmarkEnd w:id="90"/>
    <w:p>
      <w:pPr>
        <w:ind w:left="96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its authorized officer as of the date first indicated above.</w:t>
      </w:r>
    </w:p>
    <w:p>
      <w:pPr>
        <w:spacing w:after="0" w:line="2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4942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211455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to purchase shares of Common Stock under the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hanging="652"/>
        <w:spacing w:after="0" w:line="28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is the Holder of Warrant No. [ • ] (the “Warrant”) issued by </w:t>
      </w:r>
      <w:r>
        <w:rPr>
          <w:rFonts w:ascii="Times New Roman" w:cs="Times New Roman" w:eastAsia="Times New Roman" w:hAnsi="Times New Roman"/>
          <w:sz w:val="18"/>
          <w:szCs w:val="18"/>
          <w:b w:val="1"/>
          <w:bCs w:val="1"/>
          <w:color w:val="auto"/>
        </w:rPr>
        <w:t>CERVOMED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2040" w:hanging="574"/>
        <w:spacing w:after="0"/>
        <w:tabs>
          <w:tab w:leader="none" w:pos="2040" w:val="left"/>
        </w:tabs>
        <w:numPr>
          <w:ilvl w:val="1"/>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left="660" w:right="20" w:hanging="652"/>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1783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1783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(Signature must conform in all respects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 name of Holder as specified on the face of the Warrant)</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June 9,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CERVOMED INC. </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each of the purchasers whose names are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 the Purchasers desire to purchase, severally and not jointly, and the Company has agreed to sell and issue to the Purchasers,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subject to the conditions set forth in this Agreement, an aggregate of $10.55 million of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xml:space="preserve">”) set forth opposite the name of such Purchaser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Unit comprised of (i) (A) one share of the Company’s common stock, par value $0.001 per share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or (B) one pre-funded warrant, in the form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purchase shares of Common Stock (each, a “</w:t>
      </w:r>
      <w:r>
        <w:rPr>
          <w:rFonts w:ascii="Times New Roman" w:cs="Times New Roman" w:eastAsia="Times New Roman" w:hAnsi="Times New Roman"/>
          <w:sz w:val="18"/>
          <w:szCs w:val="18"/>
          <w:b w:val="1"/>
          <w:bCs w:val="1"/>
          <w:i w:val="1"/>
          <w:iCs w:val="1"/>
          <w:color w:val="auto"/>
        </w:rPr>
        <w:t>Pre-Funded Warrant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in each case, (ii) one warrant,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purchase shares of Common Stock or a pre-funded warrant to purchase Common Stock (each, a “</w:t>
      </w:r>
      <w:r>
        <w:rPr>
          <w:rFonts w:ascii="Times New Roman" w:cs="Times New Roman" w:eastAsia="Times New Roman" w:hAnsi="Times New Roman"/>
          <w:sz w:val="18"/>
          <w:szCs w:val="18"/>
          <w:b w:val="1"/>
          <w:bCs w:val="1"/>
          <w:i w:val="1"/>
          <w:iCs w:val="1"/>
          <w:color w:val="auto"/>
        </w:rPr>
        <w:t>Series B Warrant</w:t>
      </w:r>
      <w:r>
        <w:rPr>
          <w:rFonts w:ascii="Times New Roman" w:cs="Times New Roman" w:eastAsia="Times New Roman" w:hAnsi="Times New Roman"/>
          <w:sz w:val="18"/>
          <w:szCs w:val="18"/>
          <w:color w:val="auto"/>
        </w:rPr>
        <w:t>”) and (iii) one warrant, in the form attached hereto as Exhibit C, to purchase shares of Common Stock or a pre-funded warrant to purchase Common Stock (each, a “</w:t>
      </w:r>
      <w:r>
        <w:rPr>
          <w:rFonts w:ascii="Times New Roman" w:cs="Times New Roman" w:eastAsia="Times New Roman" w:hAnsi="Times New Roman"/>
          <w:sz w:val="18"/>
          <w:szCs w:val="18"/>
          <w:b w:val="1"/>
          <w:bCs w:val="1"/>
          <w:i w:val="1"/>
          <w:iCs w:val="1"/>
          <w:color w:val="auto"/>
        </w:rPr>
        <w:t>Series C Warrant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 in connection with the issuance and sale of the Securities to the Purchasers on the terms and subject to the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has entered into a placement agent engagement letter (the “</w:t>
      </w:r>
      <w:r>
        <w:rPr>
          <w:rFonts w:ascii="Times New Roman" w:cs="Times New Roman" w:eastAsia="Times New Roman" w:hAnsi="Times New Roman"/>
          <w:sz w:val="18"/>
          <w:szCs w:val="18"/>
          <w:b w:val="1"/>
          <w:bCs w:val="1"/>
          <w:i w:val="1"/>
          <w:iCs w:val="1"/>
          <w:color w:val="auto"/>
        </w:rPr>
        <w:t>Placement Agent Agreement</w:t>
      </w:r>
      <w:r>
        <w:rPr>
          <w:rFonts w:ascii="Times New Roman" w:cs="Times New Roman" w:eastAsia="Times New Roman" w:hAnsi="Times New Roman"/>
          <w:sz w:val="18"/>
          <w:szCs w:val="18"/>
          <w:color w:val="auto"/>
        </w:rPr>
        <w:t>”) with the investment banking firms named therein (collectively, the “</w:t>
      </w:r>
      <w:r>
        <w:rPr>
          <w:rFonts w:ascii="Times New Roman" w:cs="Times New Roman" w:eastAsia="Times New Roman" w:hAnsi="Times New Roman"/>
          <w:sz w:val="18"/>
          <w:szCs w:val="18"/>
          <w:b w:val="1"/>
          <w:bCs w:val="1"/>
          <w:i w:val="1"/>
          <w:iCs w:val="1"/>
          <w:color w:val="auto"/>
        </w:rPr>
        <w:t>Placement Agents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authorized the sale and issuance of the Securities to the Purchasers on the terms and subject to the conditions set forth in this Agreement.</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SECURITIES.</w:t>
      </w:r>
    </w:p>
    <w:p>
      <w:pPr>
        <w:spacing w:after="0" w:line="22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At the Closing (as defined below), the Company will issue, sell and deliver to each Purchaser, and such Purchaser will purchase, severally and not jointly, from the Company, that number of Units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inclusive of the number of shares of Common Stock and/or Pre-Funded Warrants and the number of Series B Warrants and Series C Warrants indicated thereon. The purchase price per Unit shall be $3.14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Pre-Funded Warrants are purchased, the price of such Unit shall be equal to the Purchase Price minus $0.001. The Pre-Funded Warrants shall have an exercise price equal to $0.001 per Warrant Share. The Series B Warrants shall have an exercise price equal to $3.32 per Warrant Share. The Series C Warrants shall have an exercise price equal to $3.14 per Warrant Share. For the avoidance of doubt, the election to receive Pre-Funded Warrants is solely at the option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ind w:left="460"/>
        <w:spacing w:after="0"/>
        <w:tabs>
          <w:tab w:leader="none" w:pos="8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225" w:lineRule="exact"/>
        <w:rPr>
          <w:sz w:val="20"/>
          <w:szCs w:val="20"/>
          <w:color w:val="auto"/>
        </w:rPr>
      </w:pPr>
    </w:p>
    <w:p>
      <w:pPr>
        <w:ind w:right="260" w:firstLine="890"/>
        <w:spacing w:after="0" w:line="268" w:lineRule="auto"/>
        <w:tabs>
          <w:tab w:leader="none" w:pos="126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Person that, directly or indirectly through one or more intermediaries, controls, is controlled by or is under common control with such Person, as such terms are used in and construed under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410"/>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2" w:lineRule="exact"/>
        <w:rPr>
          <w:rFonts w:ascii="Times New Roman" w:cs="Times New Roman" w:eastAsia="Times New Roman" w:hAnsi="Times New Roman"/>
          <w:sz w:val="18"/>
          <w:szCs w:val="18"/>
          <w:color w:val="auto"/>
        </w:rPr>
      </w:pPr>
    </w:p>
    <w:p>
      <w:pPr>
        <w:jc w:val="both"/>
        <w:ind w:firstLine="890"/>
        <w:spacing w:after="0" w:line="268" w:lineRule="auto"/>
        <w:tabs>
          <w:tab w:leader="none" w:pos="13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shall mean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0" w:lineRule="exact"/>
        <w:rPr>
          <w:rFonts w:ascii="Times New Roman" w:cs="Times New Roman" w:eastAsia="Times New Roman" w:hAnsi="Times New Roman"/>
          <w:sz w:val="18"/>
          <w:szCs w:val="18"/>
          <w:color w:val="auto"/>
        </w:rPr>
      </w:pPr>
    </w:p>
    <w:p>
      <w:pPr>
        <w:jc w:val="both"/>
        <w:ind w:firstLine="890"/>
        <w:spacing w:after="0" w:line="257" w:lineRule="auto"/>
        <w:tabs>
          <w:tab w:leader="none" w:pos="12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Exempt Filing</w:t>
      </w:r>
      <w:r>
        <w:rPr>
          <w:rFonts w:ascii="Times New Roman" w:cs="Times New Roman" w:eastAsia="Times New Roman" w:hAnsi="Times New Roman"/>
          <w:sz w:val="18"/>
          <w:szCs w:val="18"/>
          <w:color w:val="auto"/>
        </w:rPr>
        <w:t>” means the filing by the Company with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or after the Effective Date of (i) any registration statement on Form S-8 in connection with the offer and sale of securities to be issued pursuant to any equity incentive plan, (ii) a universal “shelf” registration statement on Form S-3 so long as no securities are sold thereunder, (iii) any Registration Statement (as defined below) filed in connection with this Agreement (which, for the avoidance of doubt, includes the Secondary Registration Statement and the Remainder Registration Statement (each, as defined below)) and/or (iv) a registration statement on Form S-4 in connection with any business combination transaction involving the Company or a subsidiary thereof.</w:t>
      </w:r>
    </w:p>
    <w:p>
      <w:pPr>
        <w:spacing w:after="0" w:line="182" w:lineRule="exact"/>
        <w:rPr>
          <w:rFonts w:ascii="Times New Roman" w:cs="Times New Roman" w:eastAsia="Times New Roman" w:hAnsi="Times New Roman"/>
          <w:sz w:val="18"/>
          <w:szCs w:val="18"/>
          <w:color w:val="auto"/>
        </w:rPr>
      </w:pPr>
    </w:p>
    <w:p>
      <w:pPr>
        <w:jc w:val="both"/>
        <w:ind w:firstLine="890"/>
        <w:spacing w:after="0" w:line="253" w:lineRule="auto"/>
        <w:tabs>
          <w:tab w:leader="none" w:pos="126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Exempt Issuance</w:t>
      </w:r>
      <w:r>
        <w:rPr>
          <w:rFonts w:ascii="Times New Roman" w:cs="Times New Roman" w:eastAsia="Times New Roman" w:hAnsi="Times New Roman"/>
          <w:sz w:val="18"/>
          <w:szCs w:val="18"/>
          <w:color w:val="auto"/>
        </w:rPr>
        <w:t xml:space="preserve">” means (i) the issuance of shares of Common Stock, restricted stock units, options or other stock awards to employees, officers or directors of the Company pursuant to any stock or option plan duly adopted for such purpose as of the Effective Date, by a majority of the non-employee members of the Board of Directors or a majority of the members of a committee of non-employee directors established for such purpose for services rendered to the Company; (ii) the issuance and sale of the Securities to be issued hereunder and securities upon the exercise or exchange of or conversion of any Securities issued hereunder and/or other securities exercisable or exchangeable for or convertible into shares of Common Stock issued and outstanding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(iii) the issuance of securities issued pursuant to any licensing, collaboration, acquisition or strategic transactions approved by a majority of the disinterested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number of shares of Common Stock issued pursuant to clause (iv) during the restricted period shall not exceed 10% of the total number of shares of Common Stock issued and outstanding immediately following the Closing).</w:t>
      </w:r>
    </w:p>
    <w:p>
      <w:pPr>
        <w:spacing w:after="0" w:line="185" w:lineRule="exact"/>
        <w:rPr>
          <w:rFonts w:ascii="Times New Roman" w:cs="Times New Roman" w:eastAsia="Times New Roman" w:hAnsi="Times New Roman"/>
          <w:sz w:val="18"/>
          <w:szCs w:val="18"/>
          <w:color w:val="auto"/>
        </w:rPr>
      </w:pPr>
    </w:p>
    <w:p>
      <w:pPr>
        <w:ind w:left="1240" w:hanging="350"/>
        <w:spacing w:after="0"/>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both"/>
        <w:ind w:firstLine="890"/>
        <w:spacing w:after="0" w:line="262" w:lineRule="auto"/>
        <w:tabs>
          <w:tab w:leader="none" w:pos="129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national, federal, state, county, municipal, local or foreign government, or other political subdivision thereof or any other governmental, administrative, judicial, arbitral, legislative, executive, regulatory or self-regulatory authority (including the Trading Market), instrumentality, agency, commission or body and any entity exercising executive, legislative, judicial, regulatory, taxing or administrative functions of or pertaining to government.</w:t>
      </w:r>
    </w:p>
    <w:p>
      <w:pPr>
        <w:spacing w:after="0" w:line="176" w:lineRule="exact"/>
        <w:rPr>
          <w:rFonts w:ascii="Times New Roman" w:cs="Times New Roman" w:eastAsia="Times New Roman" w:hAnsi="Times New Roman"/>
          <w:sz w:val="18"/>
          <w:szCs w:val="18"/>
          <w:color w:val="auto"/>
        </w:rPr>
      </w:pPr>
    </w:p>
    <w:p>
      <w:pPr>
        <w:jc w:val="both"/>
        <w:ind w:firstLine="890"/>
        <w:spacing w:after="0" w:line="268" w:lineRule="auto"/>
        <w:tabs>
          <w:tab w:leader="none" w:pos="131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means, with respect to the Company, such statement is based upon the actual knowledge, or knowledge that would have been acquired after reasonable inquiry, of the executive officers of the Company having responsibility for the matter or matters that are the subject of the statement.</w:t>
      </w:r>
    </w:p>
    <w:p>
      <w:pPr>
        <w:spacing w:after="0" w:line="170" w:lineRule="exact"/>
        <w:rPr>
          <w:rFonts w:ascii="Times New Roman" w:cs="Times New Roman" w:eastAsia="Times New Roman" w:hAnsi="Times New Roman"/>
          <w:sz w:val="18"/>
          <w:szCs w:val="18"/>
          <w:color w:val="auto"/>
        </w:rPr>
      </w:pPr>
    </w:p>
    <w:p>
      <w:pPr>
        <w:ind w:firstLine="890"/>
        <w:spacing w:after="0" w:line="286" w:lineRule="auto"/>
        <w:tabs>
          <w:tab w:leader="none" w:pos="125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890"/>
        <w:spacing w:after="0" w:line="259" w:lineRule="auto"/>
        <w:tabs>
          <w:tab w:leader="none" w:pos="135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any change, event, development, condition, occurrence or effect that, individually or in the aggregate with all other changes, events, developments, conditions, occurrences or effects (i) is, or would reasonably be expected to be, materially adverse to the business, financial condition, assets, liabilities or results of operations of the Company and its subsidiaries considered as one enterprise, or</w:t>
      </w:r>
    </w:p>
    <w:p>
      <w:pPr>
        <w:jc w:val="both"/>
        <w:ind w:firstLine="8"/>
        <w:spacing w:after="0" w:line="253" w:lineRule="auto"/>
        <w:tabs>
          <w:tab w:leader="none" w:pos="27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materially impairs the ability of the Company to comply, or prevents the Company from complying, with its material obligations with respect to the Closing or would reasonably be expected to do so, or (iii) is, or would reasonably be expected to be, materially adverse to the validity of the Securities purchased hereunder or the legal authority of the Company to comply in all material respects with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(i) of this definition:</w:t>
      </w:r>
    </w:p>
    <w:p>
      <w:pPr>
        <w:spacing w:after="0" w:line="186" w:lineRule="exact"/>
        <w:rPr>
          <w:rFonts w:ascii="Times New Roman" w:cs="Times New Roman" w:eastAsia="Times New Roman" w:hAnsi="Times New Roman"/>
          <w:sz w:val="18"/>
          <w:szCs w:val="18"/>
          <w:color w:val="auto"/>
        </w:rPr>
      </w:pPr>
    </w:p>
    <w:p>
      <w:pPr>
        <w:ind w:left="1460" w:hanging="318"/>
        <w:spacing w:after="0" w:line="282" w:lineRule="auto"/>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any other geographic region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460" w:hanging="318"/>
        <w:spacing w:after="0" w:line="282" w:lineRule="auto"/>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debt, banking, capital, credit or securities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460" w:right="20" w:hanging="318"/>
        <w:spacing w:after="0" w:line="282" w:lineRule="auto"/>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460" w:right="20" w:hanging="318"/>
        <w:spacing w:after="0" w:line="282" w:lineRule="auto"/>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or disease outbreak or any worsening of such epidemic, pandemic or disease outbreak or any declaration of martial law, quarantine or similar directive, policy or guidance or Law or other action by any Governmental Entity in response thereto;</w:t>
      </w:r>
    </w:p>
    <w:p>
      <w:pPr>
        <w:spacing w:after="0" w:line="16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after the date of this Agreement, if the Company is not disproportionately affected thereby; or</w:t>
      </w:r>
    </w:p>
    <w:p>
      <w:pPr>
        <w:spacing w:after="0" w:line="225" w:lineRule="exact"/>
        <w:rPr>
          <w:rFonts w:ascii="Times New Roman" w:cs="Times New Roman" w:eastAsia="Times New Roman" w:hAnsi="Times New Roman"/>
          <w:sz w:val="18"/>
          <w:szCs w:val="18"/>
          <w:color w:val="auto"/>
        </w:rPr>
      </w:pPr>
    </w:p>
    <w:p>
      <w:pPr>
        <w:jc w:val="both"/>
        <w:ind w:left="1460" w:hanging="318"/>
        <w:spacing w:after="0" w:line="266" w:lineRule="auto"/>
        <w:tabs>
          <w:tab w:leader="none" w:pos="146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acts of God, natural disasters, sabotage or terrorism, military actions or any escalation or material worsening of any such hostilities, acts of war, acts of God, natural disasters, sabotage or terrorism or military actions;</w:t>
      </w:r>
    </w:p>
    <w:p>
      <w:pPr>
        <w:spacing w:after="0" w:line="174" w:lineRule="exact"/>
        <w:rPr>
          <w:sz w:val="20"/>
          <w:szCs w:val="20"/>
          <w:color w:val="auto"/>
        </w:rPr>
      </w:pPr>
    </w:p>
    <w:p>
      <w:pPr>
        <w:jc w:val="both"/>
        <w:ind w:left="14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underlying cause of any change described in the foregoing clauses (A) through (G) may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or be taken into account in determining whether there has been or will be, a Material Adverse Effect under subclause (i) of this definition, except to the extent any such change would otherwise be excepted from this definition in accordance with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firstLine="890"/>
        <w:spacing w:after="0" w:line="286" w:lineRule="auto"/>
        <w:tabs>
          <w:tab w:leader="none" w:pos="1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320" w:hanging="430"/>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collectively, the Units, the Shares, the Warrant Shares and the Warrants.</w:t>
      </w:r>
    </w:p>
    <w:p>
      <w:pPr>
        <w:spacing w:after="0" w:line="225" w:lineRule="exact"/>
        <w:rPr>
          <w:rFonts w:ascii="Times New Roman" w:cs="Times New Roman" w:eastAsia="Times New Roman" w:hAnsi="Times New Roman"/>
          <w:sz w:val="18"/>
          <w:szCs w:val="18"/>
          <w:color w:val="auto"/>
        </w:rPr>
      </w:pPr>
    </w:p>
    <w:p>
      <w:pPr>
        <w:ind w:left="1340" w:hanging="450"/>
        <w:spacing w:after="0"/>
        <w:tabs>
          <w:tab w:leader="none" w:pos="1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the shares of Common Stock included in the Units purchased by the Purchasers pursuant to the terms and conditions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2" w:lineRule="exact"/>
        <w:rPr>
          <w:rFonts w:ascii="Times New Roman" w:cs="Times New Roman" w:eastAsia="Times New Roman" w:hAnsi="Times New Roman"/>
          <w:sz w:val="18"/>
          <w:szCs w:val="18"/>
          <w:color w:val="auto"/>
        </w:rPr>
      </w:pPr>
    </w:p>
    <w:p>
      <w:pPr>
        <w:jc w:val="both"/>
        <w:ind w:firstLine="890"/>
        <w:spacing w:after="0" w:line="259" w:lineRule="auto"/>
        <w:tabs>
          <w:tab w:leader="none" w:pos="139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means any short sales including, without limitation, (i) all “short sales” as defined in Rule 200 promulgated under Regulation SHO under the Exchange Act, whether or not against the box, and all types of direct and indirect stock pledges, forward sale contracts, options, puts, calls, swaps, “put equivalent positions” (as defined in Rule 16a-1(h) under the Exchange Act) and similar arrangements (including on a total return basis), and (ii) sales and other transactions through non-U.S. broker-dealers or non-U.S. regulated brokers (but shall not be deemed to include the location and/or reservation of borrowable shares of Common Stock).</w:t>
      </w:r>
    </w:p>
    <w:p>
      <w:pPr>
        <w:spacing w:after="0" w:line="179" w:lineRule="exact"/>
        <w:rPr>
          <w:rFonts w:ascii="Times New Roman" w:cs="Times New Roman" w:eastAsia="Times New Roman" w:hAnsi="Times New Roman"/>
          <w:sz w:val="18"/>
          <w:szCs w:val="18"/>
          <w:color w:val="auto"/>
        </w:rPr>
      </w:pPr>
    </w:p>
    <w:p>
      <w:pPr>
        <w:ind w:right="20" w:firstLine="890"/>
        <w:spacing w:after="0" w:line="286" w:lineRule="auto"/>
        <w:tabs>
          <w:tab w:leader="none" w:pos="127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Trading Market with respect to the Common Stock.</w:t>
      </w:r>
    </w:p>
    <w:p>
      <w:pPr>
        <w:spacing w:after="0" w:line="154" w:lineRule="exact"/>
        <w:rPr>
          <w:rFonts w:ascii="Times New Roman" w:cs="Times New Roman" w:eastAsia="Times New Roman" w:hAnsi="Times New Roman"/>
          <w:sz w:val="18"/>
          <w:szCs w:val="18"/>
          <w:color w:val="auto"/>
        </w:rPr>
      </w:pPr>
    </w:p>
    <w:p>
      <w:pPr>
        <w:jc w:val="both"/>
        <w:ind w:firstLine="890"/>
        <w:spacing w:after="0" w:line="268" w:lineRule="auto"/>
        <w:tabs>
          <w:tab w:leader="none" w:pos="127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70" w:lineRule="exact"/>
        <w:rPr>
          <w:rFonts w:ascii="Times New Roman" w:cs="Times New Roman" w:eastAsia="Times New Roman" w:hAnsi="Times New Roman"/>
          <w:sz w:val="18"/>
          <w:szCs w:val="18"/>
          <w:color w:val="auto"/>
        </w:rPr>
      </w:pPr>
    </w:p>
    <w:p>
      <w:pPr>
        <w:ind w:left="1200" w:hanging="310"/>
        <w:spacing w:after="0"/>
        <w:tabs>
          <w:tab w:leader="none" w:pos="12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225" w:lineRule="exact"/>
        <w:rPr>
          <w:rFonts w:ascii="Times New Roman" w:cs="Times New Roman" w:eastAsia="Times New Roman" w:hAnsi="Times New Roman"/>
          <w:sz w:val="18"/>
          <w:szCs w:val="18"/>
          <w:color w:val="auto"/>
        </w:rPr>
      </w:pPr>
    </w:p>
    <w:p>
      <w:pPr>
        <w:ind w:left="1260" w:hanging="370"/>
        <w:spacing w:after="0"/>
        <w:tabs>
          <w:tab w:leader="none" w:pos="1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ind w:left="1240" w:hanging="350"/>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the Pre-Funded Warrants, Series B Warrants and Series C Warrants.</w:t>
      </w:r>
    </w:p>
    <w:p>
      <w:pPr>
        <w:spacing w:after="0" w:line="225" w:lineRule="exact"/>
        <w:rPr>
          <w:rFonts w:ascii="Times New Roman" w:cs="Times New Roman" w:eastAsia="Times New Roman" w:hAnsi="Times New Roman"/>
          <w:sz w:val="18"/>
          <w:szCs w:val="18"/>
          <w:color w:val="auto"/>
        </w:rPr>
      </w:pPr>
    </w:p>
    <w:p>
      <w:pPr>
        <w:jc w:val="both"/>
        <w:ind w:firstLine="890"/>
        <w:spacing w:after="0" w:line="268" w:lineRule="auto"/>
        <w:tabs>
          <w:tab w:leader="none" w:pos="12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means the shares of Common Stock issuable upon exercise of the Pre-Funded Warrants, Series B Warrants and Series C Warrants, including any shares of Common Stock issuable pursuant to the pre-funded warrants issuable pursuant to the Series B Warrants or Series C Warrants.</w:t>
      </w:r>
    </w:p>
    <w:p>
      <w:pPr>
        <w:spacing w:after="0" w:line="170" w:lineRule="exact"/>
        <w:rPr>
          <w:rFonts w:ascii="Times New Roman" w:cs="Times New Roman" w:eastAsia="Times New Roman" w:hAnsi="Times New Roman"/>
          <w:sz w:val="18"/>
          <w:szCs w:val="18"/>
          <w:color w:val="auto"/>
        </w:rPr>
      </w:pPr>
    </w:p>
    <w:p>
      <w:pPr>
        <w:jc w:val="both"/>
        <w:ind w:firstLine="890"/>
        <w:spacing w:after="0" w:line="256" w:lineRule="auto"/>
        <w:tabs>
          <w:tab w:leader="none" w:pos="139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Variable Rate Transaction</w:t>
      </w:r>
      <w:r>
        <w:rPr>
          <w:rFonts w:ascii="Times New Roman" w:cs="Times New Roman" w:eastAsia="Times New Roman" w:hAnsi="Times New Roman"/>
          <w:sz w:val="18"/>
          <w:szCs w:val="18"/>
          <w:color w:val="auto"/>
        </w:rPr>
        <w:t>” means a transaction in which the Company issues or sells: (i) any debt or equity securities that are convertible into, exchangeable or exercisable for, or include the right to receive additional shares of Common Stock either (A) at a conversion, exercise, or exchange rate or other price that is based upon and/or varies with the trading prices of or quotations for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sell securities at a future determined price.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Securities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on June 11, 2026, subject to the satisfaction or waiver of all of the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&amp; Popeo, P.C., One Financial Center, Boston, Massachusetts 02111, or at such other time and place as may be agreed to by the Company and the Purchasers.</w:t>
      </w:r>
    </w:p>
    <w:p>
      <w:pPr>
        <w:spacing w:after="0" w:line="17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Closing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90"/>
        <w:spacing w:after="0" w:line="266" w:lineRule="auto"/>
        <w:tabs>
          <w:tab w:leader="none" w:pos="14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890"/>
        <w:spacing w:after="0" w:line="282" w:lineRule="auto"/>
        <w:tabs>
          <w:tab w:leader="none" w:pos="129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Securities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460" w:hanging="318"/>
        <w:spacing w:after="0" w:line="258" w:lineRule="auto"/>
        <w:tabs>
          <w:tab w:leader="none" w:pos="14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at the Closing Date (or, to the extent representations or warranties are qualified by materiality or Material Adverse Effect, in all respects), with the same force and effect as if they had been made on and as of the Closing Date, except to the extent any such representation or warranty expressly speaks as of an earlier date, in which case such representation or warranty shall be true and correct in all material respects as of such earlier date (or, to the extent representations or warranties are qualified by materiality or Material Adverse Effect, in all respects).</w:t>
      </w:r>
    </w:p>
    <w:p>
      <w:pPr>
        <w:spacing w:after="0" w:line="183" w:lineRule="exact"/>
        <w:rPr>
          <w:rFonts w:ascii="Times New Roman" w:cs="Times New Roman" w:eastAsia="Times New Roman" w:hAnsi="Times New Roman"/>
          <w:sz w:val="18"/>
          <w:szCs w:val="18"/>
          <w:color w:val="auto"/>
        </w:rPr>
      </w:pPr>
    </w:p>
    <w:p>
      <w:pPr>
        <w:ind w:left="1460" w:hanging="318"/>
        <w:spacing w:after="0" w:line="261" w:lineRule="auto"/>
        <w:tabs>
          <w:tab w:leader="none" w:pos="14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Closing, or any breach or failure to do so has been cured.</w:t>
      </w:r>
    </w:p>
    <w:p>
      <w:pPr>
        <w:ind w:left="1460" w:hanging="318"/>
        <w:spacing w:after="0"/>
        <w:tabs>
          <w:tab w:leader="none" w:pos="14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9" w:lineRule="exact"/>
        <w:rPr>
          <w:rFonts w:ascii="Times New Roman" w:cs="Times New Roman" w:eastAsia="Times New Roman" w:hAnsi="Times New Roman"/>
          <w:sz w:val="18"/>
          <w:szCs w:val="18"/>
          <w:color w:val="auto"/>
        </w:rPr>
      </w:pPr>
    </w:p>
    <w:p>
      <w:pPr>
        <w:jc w:val="both"/>
        <w:ind w:left="1460" w:hanging="318"/>
        <w:spacing w:after="0" w:line="252" w:lineRule="auto"/>
        <w:tabs>
          <w:tab w:leader="none" w:pos="14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Trading Market, nor shall suspension have been threatened either (A) in writing by the Commission or the Trading Market or (B) by falling below the minimum maintenance requirements of the Trading Market, and, at any time prior to the Closing Date, trading in securities generally as reported by Bloomberg L.P. shall not have been suspended or limited, or minimum prices shall not have been established on securities whose trades are reported by such service, or on the Trading Market, nor shall a banking moratorium have been declared by the United States or New York authorities.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both"/>
        <w:ind w:left="1460" w:hanging="318"/>
        <w:spacing w:after="0" w:line="257" w:lineRule="auto"/>
        <w:tabs>
          <w:tab w:leader="none" w:pos="14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the Trading Market a Listing of Additional Shares notification form for the listing of the Shares and the applicable Warrant Shares. No objection shall have been raised by the Trading Market with respect to the consummation of the transactions contemplated by this Agreement.</w:t>
      </w:r>
    </w:p>
    <w:p>
      <w:pPr>
        <w:spacing w:after="0" w:line="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the closing deliverables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to the Purchasers and Placement Agents.</w:t>
      </w:r>
    </w:p>
    <w:p>
      <w:pPr>
        <w:spacing w:after="0" w:line="206" w:lineRule="exact"/>
        <w:rPr>
          <w:rFonts w:ascii="Times New Roman" w:cs="Times New Roman" w:eastAsia="Times New Roman" w:hAnsi="Times New Roman"/>
          <w:sz w:val="18"/>
          <w:szCs w:val="18"/>
          <w:color w:val="auto"/>
        </w:rPr>
      </w:pPr>
    </w:p>
    <w:p>
      <w:pPr>
        <w:jc w:val="both"/>
        <w:ind w:left="1460" w:hanging="318"/>
        <w:spacing w:after="0" w:line="266" w:lineRule="auto"/>
        <w:tabs>
          <w:tab w:leader="none" w:pos="14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any and all consents, permits, approvals, registrations and waivers necessary for the consummation of the purchase and sale of the Securities and the consummation of the other transactions contemplated by this Agreement, all of which shall be in full force and effect.</w:t>
      </w:r>
    </w:p>
    <w:p>
      <w:pPr>
        <w:spacing w:after="0" w:line="175" w:lineRule="exact"/>
        <w:rPr>
          <w:rFonts w:ascii="Times New Roman" w:cs="Times New Roman" w:eastAsia="Times New Roman" w:hAnsi="Times New Roman"/>
          <w:sz w:val="18"/>
          <w:szCs w:val="18"/>
          <w:color w:val="auto"/>
        </w:rPr>
      </w:pPr>
    </w:p>
    <w:p>
      <w:pPr>
        <w:ind w:firstLine="890"/>
        <w:spacing w:after="0" w:line="282" w:lineRule="auto"/>
        <w:tabs>
          <w:tab w:leader="none" w:pos="134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Securities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460" w:hanging="318"/>
        <w:spacing w:after="0" w:line="258" w:lineRule="auto"/>
        <w:tabs>
          <w:tab w:leader="none" w:pos="14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(or, to the extent such representations and warranties are qualified by materiality, in all respects) at the date of the Closing, with the same force and effect as if they had been made on and as of said date, except to the extent any such representation or warranty expressly speaks as of an earlier date, in which case such representation or warranty shall be true and correct in all material respects (or, to the extent such representations and warranties are qualified by materiality, in all respects) as of such earlier date.</w:t>
      </w:r>
    </w:p>
    <w:p>
      <w:pPr>
        <w:spacing w:after="0" w:line="183" w:lineRule="exact"/>
        <w:rPr>
          <w:rFonts w:ascii="Times New Roman" w:cs="Times New Roman" w:eastAsia="Times New Roman" w:hAnsi="Times New Roman"/>
          <w:sz w:val="18"/>
          <w:szCs w:val="18"/>
          <w:color w:val="auto"/>
        </w:rPr>
      </w:pPr>
    </w:p>
    <w:p>
      <w:pPr>
        <w:ind w:left="1460" w:hanging="318"/>
        <w:spacing w:after="0" w:line="282" w:lineRule="auto"/>
        <w:tabs>
          <w:tab w:leader="none" w:pos="14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6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 shall have delivered the closing deliverables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to the Company.</w:t>
      </w:r>
    </w:p>
    <w:p>
      <w:pPr>
        <w:spacing w:after="0" w:line="22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90"/>
        <w:spacing w:after="0" w:line="255" w:lineRule="auto"/>
        <w:tabs>
          <w:tab w:leader="none" w:pos="13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such Purchaser’s aggregate Purchase Price as set forth on </w:t>
      </w:r>
      <w:r>
        <w:rPr>
          <w:rFonts w:ascii="Times New Roman" w:cs="Times New Roman" w:eastAsia="Times New Roman" w:hAnsi="Times New Roman"/>
          <w:sz w:val="18"/>
          <w:szCs w:val="18"/>
          <w:u w:val="single" w:color="auto"/>
          <w:color w:val="auto"/>
        </w:rPr>
        <w:t>Schedule A hereto</w:t>
      </w:r>
      <w:r>
        <w:rPr>
          <w:rFonts w:ascii="Times New Roman" w:cs="Times New Roman" w:eastAsia="Times New Roman" w:hAnsi="Times New Roman"/>
          <w:sz w:val="18"/>
          <w:szCs w:val="18"/>
          <w:color w:val="auto"/>
        </w:rPr>
        <w:t xml:space="preserv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Each Purchaser’s obligations to pay the Purchase Price shall be several and not joint. If a Purchaser informs the Company (i) that it is an investment company registered under the Investment Company Act of 1940, as amended, (ii) that it is advised by an investment adviser subject to regulation under the Investment Advisers Act of 1940, as amended, or (iii) that its internal compliance policies and procedures so require it, then (1) prior to the delivery by such Purchaser of its Purchase Price, the Company shall deliver evidence of the issuance of the Shares from the Company’s transfer agent as described below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and (2) following receipt of such evidence, such Purchaser shall deliver at the Closing its Purchase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890"/>
        <w:spacing w:after="0" w:line="255" w:lineRule="auto"/>
        <w:tabs>
          <w:tab w:leader="none" w:pos="12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included in the Units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such Shares to the Purchaser (or its nominee in accordance with such Purchaser’s delivery instructions) by crediting such Shares to the Purchaser’s account (or the account of its nominee in accordance with such Purchaser’s delivery instructions) on the transfer agent’s book-entry system on the Closing Date and confirmation from the transfer agent that such Shares were so issued on the date thereof, or if requested by such Purchaser, a copy of the book-entry statement reflecting the issuance of such Shares).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4" w:lineRule="exact"/>
        <w:rPr>
          <w:rFonts w:ascii="Times New Roman" w:cs="Times New Roman" w:eastAsia="Times New Roman" w:hAnsi="Times New Roman"/>
          <w:sz w:val="18"/>
          <w:szCs w:val="18"/>
          <w:color w:val="auto"/>
        </w:rPr>
      </w:pPr>
    </w:p>
    <w:p>
      <w:pPr>
        <w:jc w:val="both"/>
        <w:ind w:firstLine="890"/>
        <w:spacing w:after="0" w:line="259" w:lineRule="auto"/>
        <w:tabs>
          <w:tab w:leader="none" w:pos="12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Warrants at the Closing</w:t>
      </w:r>
      <w:r>
        <w:rPr>
          <w:rFonts w:ascii="Times New Roman" w:cs="Times New Roman" w:eastAsia="Times New Roman" w:hAnsi="Times New Roman"/>
          <w:sz w:val="18"/>
          <w:szCs w:val="18"/>
          <w:color w:val="auto"/>
        </w:rPr>
        <w:t>. At the Closing, the Company will deliver or cause to be delivered to each Purchaser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designated custodian per its delivery instructions) a PDF wet-ink copies of the Series B Warrants and Series C Warrants purchased by the Purchaser, and, if applicable, a PDF wet-ink copy of the Pre-Funded Warrants purchased by such Purchaser (with the original Warrants to be delivered to Purchaser within five (5) Business Days of Closing), registered in such Purchaser’s name. Such delivery shall be against payment of the Purchase Price therefor.</w:t>
      </w:r>
    </w:p>
    <w:p>
      <w:pPr>
        <w:spacing w:after="0" w:line="179" w:lineRule="exact"/>
        <w:rPr>
          <w:rFonts w:ascii="Times New Roman" w:cs="Times New Roman" w:eastAsia="Times New Roman" w:hAnsi="Times New Roman"/>
          <w:sz w:val="18"/>
          <w:szCs w:val="18"/>
          <w:color w:val="auto"/>
        </w:rPr>
      </w:pPr>
    </w:p>
    <w:p>
      <w:pPr>
        <w:jc w:val="both"/>
        <w:ind w:firstLine="890"/>
        <w:spacing w:after="0" w:line="259" w:lineRule="auto"/>
        <w:tabs>
          <w:tab w:leader="none" w:pos="133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Certificate</w:t>
      </w:r>
      <w:r>
        <w:rPr>
          <w:rFonts w:ascii="Times New Roman" w:cs="Times New Roman" w:eastAsia="Times New Roman" w:hAnsi="Times New Roman"/>
          <w:sz w:val="18"/>
          <w:szCs w:val="18"/>
          <w:color w:val="auto"/>
        </w:rPr>
        <w:t>. At the Closing, each of the Purchasers and Placement Agents shall have received a certificate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the Company, in form and substance reasonably satisfactory to the Purchasers and Placement Agents, (i) certifying the resolutions of the Board of Directors of the Company or a duly authorized committee thereof approving this Agreement and all of the transactions contemplated hereunder, (ii) certifying the current versions of the Company’s Certificate of Incorporation and Bylaws (each as defined herein) and (iii) attaching a certificate evidencing the good standing of the Company in Delaware issued by the Secretary of State of Delaware, as of a date within five Business Days of the Closing Date.</w:t>
      </w:r>
    </w:p>
    <w:p>
      <w:pPr>
        <w:spacing w:after="0" w:line="179" w:lineRule="exact"/>
        <w:rPr>
          <w:rFonts w:ascii="Times New Roman" w:cs="Times New Roman" w:eastAsia="Times New Roman" w:hAnsi="Times New Roman"/>
          <w:sz w:val="18"/>
          <w:szCs w:val="18"/>
          <w:color w:val="auto"/>
        </w:rPr>
      </w:pPr>
    </w:p>
    <w:p>
      <w:pPr>
        <w:jc w:val="both"/>
        <w:ind w:firstLine="890"/>
        <w:spacing w:after="0" w:line="268" w:lineRule="auto"/>
        <w:tabs>
          <w:tab w:leader="none" w:pos="132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Closing, each of the Purchasers and Placement Agents shall have received a certificate, in 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substance reasonably satisfactory to the Purchasers and the Placement Agents, signed by the President 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(b).</w:t>
      </w:r>
    </w:p>
    <w:p>
      <w:pPr>
        <w:spacing w:after="0" w:line="170" w:lineRule="exact"/>
        <w:rPr>
          <w:rFonts w:ascii="Times New Roman" w:cs="Times New Roman" w:eastAsia="Times New Roman" w:hAnsi="Times New Roman"/>
          <w:sz w:val="18"/>
          <w:szCs w:val="18"/>
          <w:color w:val="auto"/>
        </w:rPr>
      </w:pPr>
    </w:p>
    <w:p>
      <w:pPr>
        <w:jc w:val="both"/>
        <w:ind w:firstLine="890"/>
        <w:spacing w:after="0" w:line="262" w:lineRule="auto"/>
        <w:tabs>
          <w:tab w:leader="none" w:pos="12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At the Closing, each of the Purchasers shall have received an opinion (the “</w:t>
      </w:r>
      <w:r>
        <w:rPr>
          <w:rFonts w:ascii="Times New Roman" w:cs="Times New Roman" w:eastAsia="Times New Roman" w:hAnsi="Times New Roman"/>
          <w:sz w:val="18"/>
          <w:szCs w:val="18"/>
          <w:b w:val="1"/>
          <w:bCs w:val="1"/>
          <w:i w:val="1"/>
          <w:iCs w:val="1"/>
          <w:color w:val="auto"/>
        </w:rPr>
        <w:t>Opinion</w:t>
      </w:r>
      <w:r>
        <w:rPr>
          <w:rFonts w:ascii="Times New Roman" w:cs="Times New Roman" w:eastAsia="Times New Roman" w:hAnsi="Times New Roman"/>
          <w:sz w:val="18"/>
          <w:szCs w:val="18"/>
          <w:color w:val="auto"/>
        </w:rPr>
        <w:t>”) of Mintz, Levin, Cohn, Ferris, Glovsky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Popeo, P.C., counsel for the Company, dated as of the Closing Date, in a form reasonably satisfactory to the Purchasers and Placement Agents, and a letter from such counsel to the Placement Agents to the effect that the Placement Agents may rely on each such Opinion to the same extent as if such Opinion or opinions had been addressed to the Placement Agents.</w:t>
      </w:r>
    </w:p>
    <w:p>
      <w:pPr>
        <w:spacing w:after="0" w:line="176" w:lineRule="exact"/>
        <w:rPr>
          <w:rFonts w:ascii="Times New Roman" w:cs="Times New Roman" w:eastAsia="Times New Roman" w:hAnsi="Times New Roman"/>
          <w:sz w:val="18"/>
          <w:szCs w:val="18"/>
          <w:color w:val="auto"/>
        </w:rPr>
      </w:pPr>
    </w:p>
    <w:p>
      <w:pPr>
        <w:jc w:val="both"/>
        <w:ind w:firstLine="890"/>
        <w:spacing w:after="0" w:line="262" w:lineRule="auto"/>
        <w:tabs>
          <w:tab w:leader="none" w:pos="131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At the Closing, each of the Purchasers and Placement Agents shall have received executed 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dated as of the date hereof, by and among the Company and the directors and executive officers of the Company, all of whom are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D&amp;O Lock-up</w:t>
      </w:r>
      <w:r>
        <w:rPr>
          <w:rFonts w:ascii="Times New Roman" w:cs="Times New Roman" w:eastAsia="Times New Roman" w:hAnsi="Times New Roman"/>
          <w:sz w:val="18"/>
          <w:szCs w:val="18"/>
          <w:color w:val="auto"/>
        </w:rPr>
        <w:t>”), which lock-up agreement may only be waived by the Company upon receipt of written consent of the lead Placement Agent.</w:t>
      </w:r>
    </w:p>
    <w:p>
      <w:pPr>
        <w:spacing w:after="0" w:line="176" w:lineRule="exact"/>
        <w:rPr>
          <w:rFonts w:ascii="Times New Roman" w:cs="Times New Roman" w:eastAsia="Times New Roman" w:hAnsi="Times New Roman"/>
          <w:sz w:val="18"/>
          <w:szCs w:val="18"/>
          <w:color w:val="auto"/>
        </w:rPr>
      </w:pPr>
    </w:p>
    <w:p>
      <w:pPr>
        <w:ind w:firstLine="890"/>
        <w:spacing w:after="0" w:line="286" w:lineRule="auto"/>
        <w:tabs>
          <w:tab w:leader="none" w:pos="132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At the Closing, each Purchaser shall have delivered to the Company any other documents reasonably requested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effect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-1832610</wp:posOffset>
            </wp:positionV>
            <wp:extent cx="161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disclosed in the SEC Documents (as defined below) prior to the Effective Date and only as and to the extent disclosed therein,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represents, warrants and covenants to each of the Purchasers and Placement Agents as follows:</w:t>
      </w:r>
    </w:p>
    <w:p>
      <w:pPr>
        <w:spacing w:after="0" w:line="20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 Subsidiaries</w:t>
      </w:r>
      <w:r>
        <w:rPr>
          <w:rFonts w:ascii="Times New Roman" w:cs="Times New Roman" w:eastAsia="Times New Roman" w:hAnsi="Times New Roman"/>
          <w:sz w:val="18"/>
          <w:szCs w:val="18"/>
          <w:color w:val="auto"/>
        </w:rPr>
        <w:t>. The Company has been duly incorporated or organized and is validly existing and in good standing under the laws of Delaware or other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18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authority, and the Company and its Board of Directors have taken all requisite corporate action, to authorize, execute and deliver this Agreement and the Warrants, to consummate the transactions contemplated herein and therein, including to sell, issue and deliver the Securities to the Purchasers, and to carry out and perform all of the Company’s obligations hereunder and thereunder. This Agreement has been duly authorized, executed and delivered by the Company and, assuming the due authorization, execution and delivery by the Purchasers,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Securities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Warrants have been duly authorized by the Company and when executed and delivered by the Company in accordance with this Agreement and the applicable Warrant, as the case may be,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issuance and delivery of the Shares or Warrants is not subject to preemptive, co-sale, right of first refusal or any other similar rights of the stockholders of the Company or any other Person or any liens, encumbrances or restrictions, other than encumbrances under applicable securities laws. The Warrant Shares have been duly authorized and reserved for issuance and, when issued and delivered upon valid exercise of the Warrants in accordance therewith, will be validly issued, fully paid and nonassessable, and not subject to preemptive, co-sale, right of first refusal or any other similar rights of the stockholders of the Company or any other Person or any liens, encumbrances or restrictions, other than encumbrances under applicable securities laws or the Warrants.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Securities is exempt from registration under the Securities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furnished or will file or furnish in a timely manner all reports, schedules, forms, statements and other documents that the Company was or is required to file with the Commission under either the Securities Act or the Exchange Act, for the one year preceding the date hereof (the foregoing documents (together with any documents filed by the Company under the Securities Act or Exchange Act, whether or not required), and in each case including all exhibits and schedules thereto and documents incorporated by reference therein and including all registration statements and prospectuses filed with the Commission, but excluding any information for which the Company has received confidential treatment from the Commission,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or furnishing dates (or, if amended prior to the date of this Agreement, when amended), all SEC Documents (including any audited or unaudited financial statements and any notes thereto or schedules included therein) complied in all material respects with the requirements of the Securities Act or the Exchange Act, as the case may be, and the rules and regulations of the Commission promulgated thereunder. None of the SEC Documents as of their respective filing or furnishing dates contained any untrue statement of material fact or omitted to state a material fact required to be stated therein or necessary to make the statements made therein, in light of the circumstances under which they were made, not misleading. There are no material outstanding or unresolved comments in comment letters from the staff of the Division of Corporation Finance of the Commission with respect to any SEC Documents. The financial statements (including the notes thereto) of the Company (other than any pro forma financial statements included in any SEC Document)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GAAP consistently applied (except as may otherwise be specified in such Financial Statements or the notes thereto and except that unaudited financial statements may not contain all footnotes required by GAAP) during the periods involved and fairly present, in all material respects, the financial position of the Company at the dates thereof and the results of its operations and cash flows for the periods then ended (subject, in the case of unaudited statements, to normal recurring adjustments). Except as set forth in the Financial Statements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accountants who certified the Financial Statements are independent public accountants as required by the Securities Act and the Exchange Act and the regulations thereunder and the Public Company Accounting Oversight Board.</w:t>
      </w:r>
    </w:p>
    <w:p>
      <w:pPr>
        <w:spacing w:after="0" w:line="184"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The authorized capital stock of the Company consists of 1,000,000,000 shares of Common Stock and 30,000,000 shares of preferred stock. As set forth in the SEC Documents as of the date set forth therein, all of the Company’s outstanding shares of capital stock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and equity compensation awards issued by the Company in the ordinary course of business since March 31, 2026, there are no existing options, warrants, calls, subscriptions or other rights, agreements, arrangements or commitments of any character, relating to the issued or unissued capital stock of the Company, obligating the Company to issue, transfer, sell, redeem, purchase, repurchase or otherwise acquire or cause to be issued, transferred, sold, redeemed, purchased, repurchased or otherwise acquired any capital stock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Stock or other securities pursuant to any provision of this Agreement or the Warrants will give rise to any preemptive rights or rights of first refusal on behalf of any Person or result in the triggering of any anti-dilution or other similar rights (including a rights distribution under any “poison pill” plan or similar arrangement). Other than the Common Stock, there are no other shares of any other class or series of capital stock of the Company issued or outstanding. The Company’s Certificate of Incorporation, as amended and as in effect on the date hereof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are included in the SEC Documents, and the Company shall not amend or otherwise modify the Certificate of Incorporation or Bylaws prior to the earlier of the Closing or the termination of this Agreement in accordance with its terms. There are no voting agreements, buy-sell agreements, option or right of first purchase agreements or other agreements of any kind among the Company and any of the security holders of the Company relating to the securities of the Company held by them.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There are no legal, governmental or regulatory actions, suits, investigations, charges, claims, complaints, audits, inquiries or other proceedings pending or, to the Knowledge of the Company, threatened against the Company or any of its subsidiaries, before or by any court, regulatory body or administrative agency or any other governmental agency or body, domestic or foreign, which actions, suits or proceedings, individually or in the aggregate, would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court, regulatory body, administrative agency or other governmental agency or body that might have a Material Adverse Effect. The Commission has not issued any stop order or other order suspending the effectiveness of any registration statement filed by the Company under the Securities Act or the Exchange Act.</w:t>
      </w:r>
    </w:p>
    <w:p>
      <w:pPr>
        <w:spacing w:after="0" w:line="185"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or the Trading Market on the part of the Company is required in connection with the consummation of the transactions contemplated by this Agreement except for, if applicable, the filing of a Form D with the Commission under the Securities Act and compliance with the securities and blue sky laws in the states and other jurisdictions in which shares of Common Stock are offered and/or sold, which compliance will be effected by the Company in accordance with such laws.</w:t>
      </w:r>
    </w:p>
    <w:p>
      <w:pPr>
        <w:spacing w:after="0" w:line="17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or the Warrants by the Company nor the consummation of any of the transactions contemplated hereby or thereby (including the issuance, sale and delivery by the Company of the Securities)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Certificate of Incorporation or the Bylaws,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right="20" w:firstLine="450"/>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March 31, 2026,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Day prior to the Effective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both"/>
        <w:ind w:right="20" w:firstLine="450"/>
        <w:spacing w:after="0" w:line="26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promulgated under the Securities Act) in connection with the offer or sale of the Securities.</w:t>
      </w:r>
    </w:p>
    <w:p>
      <w:pPr>
        <w:spacing w:after="0" w:line="171"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None of the Company or any of its Affiliates, or any Person acting on its or their behalf has, directly or indirectly, made any offers or sales of any security or solicited any offers to buy any security, under circumstances that would require registration of any of the Securities under the Securities Act or cause this offering of the Securities to be integrated with prior offerings by the Company for purposes of the Securities Act or any applicable stockholder approval provisions, including under the rules and regulations of the Trading Market.</w:t>
      </w:r>
    </w:p>
    <w:p>
      <w:pPr>
        <w:spacing w:after="0" w:line="176"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The Company is in material compliance with the requirements of the Sarbanes-Oxley Act of 2002 that are effective and applicable to the Company as of the date hereof, and the rules and regulations promulgated by the Commission thereunder that are effective and applicable to the Company as of the date hereof.</w:t>
      </w:r>
    </w:p>
    <w:p>
      <w:pPr>
        <w:spacing w:after="0" w:line="17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(i) all such Intellectual Property Rights are enforceable, (ii) there is no existing infringement by another Person of any of the Intellectual Property Rights and (iii) there is no pending or threatened action, suit, proceeding or claim by others challenging the Company’s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 All material licenses or other material agreements under which the Company is granted rights to intellectual property, if any, are in full force and effect and, to the Knowledge of the Company, there is no material default by any other party thereto. The Company has no reason to believe that the licensors under such licenses and other agreements, if any, do not have and did not have all requisite power and authority to grant the rights to the intellectual property purported to be granted thereby.</w:t>
      </w:r>
    </w:p>
    <w:p>
      <w:pPr>
        <w:spacing w:after="0" w:line="18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not misleading. The Company understands and agrees that each Purchaser, in making its decision to enter into this Agreement and purchase its Securities, will rely on such due diligence materials and SEC Documents. The Company confirms that neither it nor any officers or directors has provided any Purchaser or its agents or counsel with any information that constitutes or might constitute material, nonpublic information, other than with respect to the existence of, and the material terms and conditions of, the transactions contemplated by this Agreement. The Company understands and confirms that each of the Purchasers will rely on the foregoing representations in effecting transactions in securities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ind w:left="460"/>
        <w:spacing w:after="0"/>
        <w:tabs>
          <w:tab w:leader="none" w:pos="9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b w:val="1"/>
          <w:bCs w:val="1"/>
          <w:color w:val="auto"/>
        </w:rPr>
        <w:t>Contracts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890"/>
        <w:spacing w:after="0" w:line="266" w:lineRule="auto"/>
        <w:tabs>
          <w:tab w:leader="none" w:pos="13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890"/>
        <w:spacing w:after="0" w:line="253" w:lineRule="auto"/>
        <w:tabs>
          <w:tab w:leader="none" w:pos="131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18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The Company and its subsidiaries have good and marketable title to all the properties and assets described as owned by them in the latest Financial Statements set forth in the SEC Documents, free and clear of all liens, mortgages, pledges or encumbrances of any kind except (a) those, if any, reflected in such Financial Statements or (b) those that are not material in amount and do not adversely affect the use made and proposed to be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2"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in all material respects with all applicable Laws of the jurisdictions in which they are conducting their business, including all applicable local, state and federal environmental Laws (including Laws relating to the use, disposal or release of hazardous or toxic substances or relating to the protection or restoration of the environment or human exposure to hazardous or toxic substances), and all applicable Laws enforced by the United States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(including the Federal Food, Drug And Cosmetic Act, as amended, and the regulations promulgated thereunder) or any applicable laws enforced by equivalent Governmental Entities outside the United States, except where failures to be so in compliance, individually or in the aggregate, would not reasonably be expected to have a Material Adverse Effect. Any preclinical tests and studies or clinical trials conducted by, on behalf of, or sponsored by the Company or any of its subsidiaries (“</w:t>
      </w:r>
      <w:r>
        <w:rPr>
          <w:rFonts w:ascii="Times New Roman" w:cs="Times New Roman" w:eastAsia="Times New Roman" w:hAnsi="Times New Roman"/>
          <w:sz w:val="18"/>
          <w:szCs w:val="18"/>
          <w:b w:val="1"/>
          <w:bCs w:val="1"/>
          <w:i w:val="1"/>
          <w:iCs w:val="1"/>
          <w:color w:val="auto"/>
        </w:rPr>
        <w:t>Studies</w:t>
      </w:r>
      <w:r>
        <w:rPr>
          <w:rFonts w:ascii="Times New Roman" w:cs="Times New Roman" w:eastAsia="Times New Roman" w:hAnsi="Times New Roman"/>
          <w:sz w:val="18"/>
          <w:szCs w:val="18"/>
          <w:color w:val="auto"/>
        </w:rPr>
        <w:t>”), were and, if still ongoing, are being conducted in all material respects in accordance with all applicable laws and regulations governing the conduct of such Studies, the protocols, procedures and controls submitted to the FDA or any foreign Governmental Entity exercising comparable authority (together with the FDA, the “</w:t>
      </w:r>
      <w:r>
        <w:rPr>
          <w:rFonts w:ascii="Times New Roman" w:cs="Times New Roman" w:eastAsia="Times New Roman" w:hAnsi="Times New Roman"/>
          <w:sz w:val="18"/>
          <w:szCs w:val="18"/>
          <w:b w:val="1"/>
          <w:bCs w:val="1"/>
          <w:i w:val="1"/>
          <w:iCs w:val="1"/>
          <w:color w:val="auto"/>
        </w:rPr>
        <w:t>Regulatory Authorities</w:t>
      </w:r>
      <w:r>
        <w:rPr>
          <w:rFonts w:ascii="Times New Roman" w:cs="Times New Roman" w:eastAsia="Times New Roman" w:hAnsi="Times New Roman"/>
          <w:sz w:val="18"/>
          <w:szCs w:val="18"/>
          <w:color w:val="auto"/>
        </w:rPr>
        <w:t>”), and any conditions of approval and policies imposed by any institutional review board, ethics review board or other committee responsible for the oversight of such preclinical tests and studies or clinical trials. The descriptions of the Studies contained in the SEC Documents are accurate in all material respects; to the Knowledge of the Company, there are no other preclinical studies and clinical trials, the results of which are inconsistent with or would call into question the results described in the SEC Documents in any material respect; and neither the Company nor any of its subsidiaries has received any written notice or correspondence from any institutional review board, the FDA or any other Regulatory Authority exercising comparable authority requiring or threatening the termination, suspension, or clinical hold of Studies, where such termination, suspension or clinical hold would reasonably be expected to have a Material Adverse Effect, and to the Knowledge of the Company, there are no reasonable grounds for the same.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The Company maintains insurance underwritten by insurers of recognized financial responsibility, of the types and in the amounts that the Company reasonably believes is adequate for the businesses of the Company and its subsidiaries, including directors’ and officers’ liability insurance and insurance covering all real and personal property owned or leased by the Company or any of its subsidiaries against theft, damage, destruction, acts of vandalism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179"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Stock</w:t>
      </w:r>
      <w:r>
        <w:rPr>
          <w:rFonts w:ascii="Times New Roman" w:cs="Times New Roman" w:eastAsia="Times New Roman" w:hAnsi="Times New Roman"/>
          <w:sz w:val="18"/>
          <w:szCs w:val="18"/>
          <w:color w:val="auto"/>
        </w:rPr>
        <w:t>. The Company has not taken, and will not take, and no Person acting on its behalf has taken or will take, directly or indirectly, any action designed to cause or result in, or that has constituted or that might reasonably be expected to constitute, the stabilization or manipulation of the price of any security of the Company to facilitate the sale or resale of the Securities.</w:t>
      </w:r>
    </w:p>
    <w:p>
      <w:pPr>
        <w:spacing w:after="0" w:line="171"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The Company and its subsidiaries have all franchises, licenses, permits, certificates and other authorizations from such federal, state or local government or governmental agency, department or body that are currently necessary for the operation of their respective businesses as currently conducted, including, without limitation, all such certificates, approvals, authorizations, exemptions, licenses and permits required by the FDA or any other comparable Governmental Entities, including other Regulatory Authorities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 Disclosure Controls</w:t>
      </w:r>
      <w:r>
        <w:rPr>
          <w:rFonts w:ascii="Times New Roman" w:cs="Times New Roman" w:eastAsia="Times New Roman" w:hAnsi="Times New Roman"/>
          <w:sz w:val="18"/>
          <w:szCs w:val="18"/>
          <w:color w:val="auto"/>
        </w:rPr>
        <w:t>. The Company maintains internal control over financial reporting (as such term is defined in paragraph (f) of Rule 13a-15 under the Exchange Act) as required by Rule 13a-15 under the Exchange Act. Except as disclosed in the SEC Documents,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 The Company’s “disclosure controls and procedures” (as defined in Rule 13a-15(e) under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Commission, and that all such information is accumulated and communicated to the Company’s management as appropriate to allow timely decisions regarding required disclosure.</w:t>
      </w:r>
    </w:p>
    <w:p>
      <w:pPr>
        <w:spacing w:after="0" w:line="188"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Neither the Company nor any of its subsidiaries, nor any director or officer, nor, to the Knowledge of the Company, any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w:t>
      </w:r>
    </w:p>
    <w:p>
      <w:pPr>
        <w:spacing w:after="0" w:line="3" w:lineRule="exact"/>
        <w:rPr>
          <w:sz w:val="20"/>
          <w:szCs w:val="20"/>
          <w:color w:val="auto"/>
        </w:rPr>
      </w:pPr>
    </w:p>
    <w:p>
      <w:pPr>
        <w:jc w:val="both"/>
        <w:ind w:firstLine="8"/>
        <w:spacing w:after="0" w:line="255" w:lineRule="auto"/>
        <w:tabs>
          <w:tab w:leader="none" w:pos="24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U.S. Foreign Corrupt Practices Act of 1977, as amended, the UK Bribery Act 2010 or any similar Law;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No material labor dispute with the employees of the Company or any of its subsidiaries, or with the employees of any principal supplier, manufacturer, customer or contractor of the Company or any of its subsidiaries, exists or, to the Knowledge of the Company,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neither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Stockholder Agreements</w:t>
      </w:r>
      <w:r>
        <w:rPr>
          <w:rFonts w:ascii="Times New Roman" w:cs="Times New Roman" w:eastAsia="Times New Roman" w:hAnsi="Times New Roman"/>
          <w:sz w:val="18"/>
          <w:szCs w:val="18"/>
          <w:color w:val="auto"/>
        </w:rPr>
        <w:t>. No Person has any right to cause the Company to effect the registration under the Securities Act covering the transfer of any securities of the Company and there are no other stockholders agreements, voting agreements or other similar agreements with respect to the Company’s capital stock to which the Company is a party or, to the Knowledge of the Company, between or among any of the Company’s stockholders.</w:t>
      </w:r>
    </w:p>
    <w:p>
      <w:pPr>
        <w:spacing w:after="0" w:line="176"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The Company has not, in the previous twelve (12) months, received, nor is there any reasonable basis for,</w:t>
      </w:r>
    </w:p>
    <w:p>
      <w:pPr>
        <w:spacing w:after="0" w:line="31" w:lineRule="exact"/>
        <w:rPr>
          <w:sz w:val="20"/>
          <w:szCs w:val="20"/>
          <w:color w:val="auto"/>
        </w:rPr>
      </w:pPr>
    </w:p>
    <w:p>
      <w:pPr>
        <w:jc w:val="both"/>
        <w:ind w:firstLine="8"/>
        <w:spacing w:after="0" w:line="253" w:lineRule="auto"/>
        <w:tabs>
          <w:tab w:leader="none" w:pos="22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from the Trading Market that the Company is not in compliance with the listing or maintenance requirements of the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 The issuance and sale of the Securities hereunder does not contravene the rules and regulations of the Trading Market.</w:t>
      </w:r>
    </w:p>
    <w:p>
      <w:pPr>
        <w:spacing w:after="0" w:line="183"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Bad Actor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Disqualification</w:t>
      </w:r>
      <w:r>
        <w:rPr>
          <w:rFonts w:ascii="Times New Roman" w:cs="Times New Roman" w:eastAsia="Times New Roman" w:hAnsi="Times New Roman"/>
          <w:sz w:val="18"/>
          <w:szCs w:val="18"/>
          <w:color w:val="auto"/>
        </w:rPr>
        <w:t>.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None of the Company, any of its subsidiaries, any director, officer, nor, to the Knowledge of the Company, any agent, employee, Affiliate or representative of the Company or any of its subsidiaries is a Person that is,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 The Company has not knowingly engaged in, are not now knowingly engaged in, and will not engage in, any dealings or transactions with any Person, or in any country or territory, that at the time of the dealing or transaction is or was the subject of Sanctions.</w:t>
      </w:r>
    </w:p>
    <w:p>
      <w:pPr>
        <w:spacing w:after="0" w:line="19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b w:val="1"/>
          <w:b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b w:val="1"/>
          <w:bCs w:val="1"/>
          <w:i w:val="1"/>
          <w:i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both"/>
        <w:ind w:firstLine="450"/>
        <w:spacing w:after="0" w:line="286"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b w:val="1"/>
          <w:bCs w:val="1"/>
          <w:color w:val="auto"/>
        </w:rPr>
        <w:t>No Additional Agreements</w:t>
      </w:r>
      <w:r>
        <w:rPr>
          <w:rFonts w:ascii="Times New Roman" w:cs="Times New Roman" w:eastAsia="Times New Roman" w:hAnsi="Times New Roman"/>
          <w:sz w:val="18"/>
          <w:szCs w:val="18"/>
          <w:color w:val="auto"/>
        </w:rPr>
        <w:t>. The Company has no other agreements or understandings (including side letters) with any Purchaser or any other Person to purchase Securities on terms more favorable to such Purchaser than as set forth herein.</w:t>
      </w:r>
    </w:p>
    <w:p>
      <w:pPr>
        <w:spacing w:after="0" w:line="155"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b w:val="1"/>
          <w:bCs w:val="1"/>
          <w:color w:val="auto"/>
        </w:rPr>
        <w:t>Transactions with Affiliates</w:t>
      </w:r>
      <w:r>
        <w:rPr>
          <w:rFonts w:ascii="Times New Roman" w:cs="Times New Roman" w:eastAsia="Times New Roman" w:hAnsi="Times New Roman"/>
          <w:sz w:val="18"/>
          <w:szCs w:val="18"/>
          <w:color w:val="auto"/>
        </w:rPr>
        <w:t>. Except for the transactions contemplated by this Agreement, none of the officers or directors of the Company, or to the Knowledge of the Company, the Company’s stockholders, the officers or directors of any stockholder of the Company, or any family member or affiliate of any of the foregoing, has either directly or indirectly any interest in, or is a party to, any transaction that would be required to be disclosed as a related party transaction pursuant to Item 404 of Regulation S-K promulgated under the Securities Act.</w:t>
      </w:r>
    </w:p>
    <w:p>
      <w:pPr>
        <w:spacing w:after="0" w:line="17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Except as would not reasonably be expected to have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Except as would not reasonably be expected to have a Material Adverse Effect,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i w:val="1"/>
          <w:i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(as defined below), and the integrity, availability continuous operation, redundancy and security of all IT Systems.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bank information, or customer or account number; (ii) information that identifies, relates to, or may reasonably be used to identify an individual;</w:t>
      </w:r>
    </w:p>
    <w:p>
      <w:pPr>
        <w:spacing w:after="0" w:line="8" w:lineRule="exact"/>
        <w:rPr>
          <w:sz w:val="20"/>
          <w:szCs w:val="20"/>
          <w:color w:val="auto"/>
        </w:rPr>
      </w:pPr>
    </w:p>
    <w:p>
      <w:pPr>
        <w:jc w:val="both"/>
        <w:ind w:firstLine="8"/>
        <w:spacing w:after="0" w:line="251" w:lineRule="auto"/>
        <w:tabs>
          <w:tab w:leader="none" w:pos="36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regarding an individual’s medical history, mental or physical condition, or medical treatment or diagnosis by a health care professional; (iv) an individual’s health insurance policy number or subscriber identification number, any unique identifier used by a health insurer to identify the individual, or any information in an individual’s application and claims history; (v)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(vi) any information which would qualify as “personal data,” “personal information” (or similar term) under the Privacy Laws (as defined below); and (vii) any other piece of information that alone, or combined with other information, allows the identification of such natural person, or his or her family, or permits the collection or analysis of any data related to an identified person’s health or sexual orientation. Except as would not reasonably be expected to have a Material Adverse Effect, during the past three (3) years, there have been no breaches, outages or unauthorized uses of or accesses to the IT Systems, Confidential Data and Personal Data.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b w:val="1"/>
          <w:bCs w:val="1"/>
          <w:color w:val="auto"/>
        </w:rPr>
        <w:t>Compliance with Data Privacy Laws</w:t>
      </w:r>
      <w:r>
        <w:rPr>
          <w:rFonts w:ascii="Times New Roman" w:cs="Times New Roman" w:eastAsia="Times New Roman" w:hAnsi="Times New Roman"/>
          <w:sz w:val="18"/>
          <w:szCs w:val="18"/>
          <w:color w:val="auto"/>
        </w:rPr>
        <w:t>. The Company and its subsidiaries are, and at all prior times during the last three (3) years were, in material compliance with all applicable state and federal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of Personal Data, including, to the extent applicable, HIPAA, the California Privacy Rights Act, and the European Union General Data Protection Regulation (EU 2016/679)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To comply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8"/>
          <w:szCs w:val="18"/>
          <w:b w:val="1"/>
          <w:bCs w:val="1"/>
          <w:i w:val="1"/>
          <w:iCs w:val="1"/>
          <w:color w:val="auto"/>
        </w:rPr>
        <w:t>Privacy Statements</w:t>
      </w:r>
      <w:r>
        <w:rPr>
          <w:rFonts w:ascii="Times New Roman" w:cs="Times New Roman" w:eastAsia="Times New Roman" w:hAnsi="Times New Roman"/>
          <w:sz w:val="18"/>
          <w:szCs w:val="18"/>
          <w:color w:val="auto"/>
        </w:rPr>
        <w:t>”). The Company and its subsidiaries have, except as would not reasonably be expected, individually or in the aggregate, to have a Material Adverse Effect, at all times since January 1, 2025 provided accurate notice of its Privacy Statements then in effect to its clients, employees, third party vendors and representatives. None of such disclosures made or contained in any Privacy Statements have been materially inaccurate, misleading, incomplete, or in material violation of any Privacy Laws. The Company further represents that neither it nor any of its subsidiaries:</w:t>
      </w:r>
    </w:p>
    <w:p>
      <w:pPr>
        <w:jc w:val="both"/>
        <w:ind w:firstLine="8"/>
        <w:spacing w:after="0" w:line="253" w:lineRule="auto"/>
        <w:tabs>
          <w:tab w:leader="none" w:pos="22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notice of any actual or potential claim, complaint, proceeding, regulatory proceeding or liability under or relating to, or actual or potential violation of, any of the Privacy Laws, contracts related to the Processing of Personal Data or Confidential Data, or Privacy Statements, and has no knowledge of any event or condition that would reasonably be expected to result in any such notice; (ii) is currently conducting or paying for, in whole or in part, any investigation, remediation, or other corrective action pursuant to any Privacy Law or contract; or (iii) is a party to any order, decree, or agreement that imposes any obligation or liability under any Privacy Law.</w:t>
      </w:r>
    </w:p>
    <w:p>
      <w:pPr>
        <w:spacing w:after="0" w:line="39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covenants with the Company and each of the Placement Agents that:</w:t>
      </w:r>
    </w:p>
    <w:p>
      <w:pPr>
        <w:spacing w:after="0" w:line="22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Such Purchaser, taking into account the personnel and resources it can practically bring to bear on the purchase of the Securities contemplated hereby, is knowledgeable, sophisticated and experienced in making, and is qualified to make, decisions with respect to investments in securities presenting an investment decision like that involved in the purchase of the Securities, including investments in securities issued by the Company, and has requested, received, reviewed and considered all information such Purchaser deems relevant (including the SEC Documents) in making an informed decision to purchase the Securities. Such Purchaser (a) has conducted its own investigation of the Company and the Securities and it has not relied on any statements or other information provided by the Placement Agents concerning the Company or the Securities or the offer and sale of the Securities, (b) has had access to, and an adequate opportunity to review, financial and other information as it deems necessary to make its decision to purchase the Securities, (c) has been offered the opportunity to ask questions of the Company and received answers thereto, including on the financial information, as it deemed necessary in connection with its decision to purchase the Securities, and (d) has made its own assessment and has satisfied itself concerning the relevant tax and other economic considerations relevant to its investment in the Securities. Such Purchaser is able to fend for itself in the transactions contemplated herein; has such knowledge and experience in financial and business matters as to be capable of evaluating the merits and risks of its prospective investment in the Securities; and has the ability to bear the economic risks of its prospective investment in the Securities and can afford the complete loss of such investment.</w:t>
      </w:r>
    </w:p>
    <w:p>
      <w:pPr>
        <w:spacing w:after="0" w:line="187"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Securities pursuant to this Agreement for its own account for investment only and with no present intention of distributing any of such Securities or any arrangement or understanding with any other Persons regarding the distribution of such Securities,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Such Purchaser understands that the Securities are being offered and sold to it in reliance upon specific exemptions from the registration requirements of the Securities Act, the rules and regulations thereunder,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 If any of the representations and warranties made by such Purchaser herein are no longer accurate in all material respects prior to Closing, such Purchaser shall promptly notify the Company. If such Purchaser is acquiring the Securities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and the rules and regulations promulgated thereunder.</w:t>
      </w:r>
    </w:p>
    <w:p>
      <w:pPr>
        <w:spacing w:after="0" w:line="171"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Such Purchaser is (a) a qualified purchaser (as defined in Section 2(a)(51)(A) of the Investment Company Act of 1940, as amended), (b) a qualified institutional buyer (as defined in Rule 144A of the Securities Act), and/or (c) an accredited investor as described in Rule 501(a) of the Securities Act.</w:t>
      </w:r>
    </w:p>
    <w:p>
      <w:pPr>
        <w:spacing w:after="0" w:line="171"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color w:val="auto"/>
        </w:rPr>
        <w:t>Broker Dealer</w:t>
      </w:r>
      <w:r>
        <w:rPr>
          <w:rFonts w:ascii="Times New Roman" w:cs="Times New Roman" w:eastAsia="Times New Roman" w:hAnsi="Times New Roman"/>
          <w:sz w:val="17"/>
          <w:szCs w:val="17"/>
          <w:color w:val="auto"/>
        </w:rPr>
        <w:t>. Such Purchaser is not a broker or dealer registered pursuant to Section 15 of the Exchange Act.</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 acknowledges that it is a sophisticated investor engaged in the business of assessing and assuming investment risks with respect to securities, including securities such as the Units, Shares, Warrants and Warrant Shares, and further acknowledges that the Company is entering into this Agreement in reliance on this acknowledgment and said Purchaser’s understanding, acknowledgment and agreement that the Purchaser may have agreed in writing with the Company or the Placement Agents to receive information regarding certain confidential matters as part of its due diligence review that may represent material, non-public information of the Company, (b)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(c) is a sophisticated investor, experienced in investing in private equity transactions and capable of evaluating investment risks independently, both in general and with regard to all transactions and investment strategies involving a security or securities, and (e) has exercised independent judgment in evaluating our participation in the purchase of the Securities.</w:t>
      </w:r>
    </w:p>
    <w:p>
      <w:pPr>
        <w:spacing w:after="0" w:line="18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Such Purchaser has not, either directly or indirectly through an Affiliate, agent or representative of the Company, engaged in any Short Sales or any transaction in the securities of the Company other than with respect to the transactions contemplated herein, since the time that the Purchaser was first contacted by the Company or the Placement Agents or any other Person regarding the transactions contemplated hereby until the date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is affiliated with other funds or investment vehicles or whose investment advisor or sub-advisor that routinely acts on behalf of or pursuant to an understanding with such Purchaser is also an investment advisor or sub-advisor to other funds or investment vehicles, the representation set forth above shall only apply with respect to the personnel of such other funds or investment vehicles or such investment advisor or sub-advisor who had knowledge of the transactions contemplated hereby and not with respect to any personnel who have been effectively walled off by appropriate information barriers.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Such Purchaser understands that nothing in this Agreement or any other materials presented to such Purchaser by or on behalf of the Company in connection with the purchase and sale of the Securities constitutes legal, tax or investment advice. Such Purchaser has consulted such legal, tax and investment advisors as it, in its sole discretion, has deemed necessary or appropriate in connection with its purchase of the Securities. In connection with the issue and purchase of the Securities, the Placement Agents have acted solely as the agent of the Company in this placement of the Securities and neither Placement Agent nor any of their respective affiliates have acted as underwriters or as financial advisors or fiduciaries of such Purchaser, the Company or any other person or entity. The Placement Agents have not made and will not make any representation or warranty, whether express or implied, of any kind or character and have not provided any advice or recommendation in connection with the transactions contemplated hereby. No disclosure or offering document has been prepared in connection with the offer and sale of the Shares by any of the Placement Agents. Each Purchaser hereby acknowledges and agrees that none of the Placement Agents shall not be liable to it (including in contract, tort, under federal or state securities laws or otherwise) for any action heretofore or hereafter taken or omitted to be taken by any of them in connection with the private placement of Securities hereunder, or for any improper payment made in accordance with the information provided by the Company. The Placement Agent will have no responsibility with respect to (a) any representations, warranties or agreements made by any person or entity under or in connection with the transactions contemplated hereby or any of the documents furnished pursuant thereto or in connection therewith, or the execution, legality, validity or enforceability (with respect to any person) of any thereof, or (b) the financial condition, business, or any other matter concerning the Company or the transactions contemplated hereby. The Placement Agents and their respective directors, officers, employees, representatives and controlling persons have made no independent investigation with respect to the Company or the Securities or the accuracy, completeness or adequacy as of any date of any information set forth in, or any omission from, any valuation or other materials that may have been provided or made available to the Purchaser in connection with the transactions contemplated hereby. Each Purchaser is not relying upon, and has not relied upon, any statement, representation or warranty made by any person, including, without limitation, the Placement Agents, any of its affiliates or any of its or their control persons, officers, directors and employees, in making its investment or decisions to invest in the Company, except for the statements, representations and warranties made by the Company and contained in this Agreement and the SEC Documents.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Such Purchaser understands that, until such time as the Securities may be sold pursuant to an effective registration statement or Rule 144 under the Securities Act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(or any other applicable exemption from the registration requirements under the Securities Act), any certificates representing the Securities, whether maintained in a book entry system or otherwise, will bear one or more legends in substantially the following form and substance:</w:t>
      </w:r>
    </w:p>
    <w:p>
      <w:pPr>
        <w:spacing w:after="0" w:line="180" w:lineRule="exact"/>
        <w:rPr>
          <w:sz w:val="20"/>
          <w:szCs w:val="20"/>
          <w:color w:val="auto"/>
        </w:rPr>
      </w:pPr>
    </w:p>
    <w:p>
      <w:pPr>
        <w:jc w:val="both"/>
        <w:ind w:left="1060" w:right="1060"/>
        <w:spacing w:after="0" w:line="269" w:lineRule="auto"/>
        <w:rPr>
          <w:sz w:val="20"/>
          <w:szCs w:val="20"/>
          <w:color w:val="auto"/>
        </w:rPr>
      </w:pPr>
      <w:r>
        <w:rPr>
          <w:rFonts w:ascii="Times New Roman" w:cs="Times New Roman" w:eastAsia="Times New Roman" w:hAnsi="Times New Roman"/>
          <w:sz w:val="17"/>
          <w:szCs w:val="17"/>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8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addition, any stock certificates, whether maintained in a book entry system or otherwise, representing the Securities may contain any legend required by the blue sky laws of any state to the extent such laws are applicable to the sale of such Securities hereunder. The Company shall promptly help facilitate the removal of such legend as soon as it is legally permitted to do so under Rule 144, or to facilitate any transfer of the Securities under Rule 144 that may be requested by Purchasers, but shall not be obligated to incur any material, noncustomary costs or expenses in taking such actions other than as set forth herein.</w:t>
      </w:r>
    </w:p>
    <w:p>
      <w:pPr>
        <w:spacing w:after="0" w:line="179"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Such Purchaser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w:t>
      </w:r>
    </w:p>
    <w:p>
      <w:pPr>
        <w:spacing w:after="0" w:line="17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The purchase by the Purchaser of the Securities issuable to it at the Closing will not result in the Purchaser (individually or together with any other Person with whom the Purchaser has identified, or will have identified, itself as part of a “group” in a public filing made with the Commission involving the Company’s securities, where such aggregation would be made according to Section 13(d) of the Exchange Act) acquiring, or obtaining the right to acquire, in excess of 19.999% of the outstanding shares of Common Stock or the voting power of the Company on a post-transaction basis that assumes that such Closing shall have occurred. The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in excess of 19.99% of the outstanding shares of Common Stock or the voting power of the Company on a post-transaction basis that assumes that each Closing shall have occurred (including assuming the effectiveness of any “blocker” or similar limitations on beneficial ownership contained in the applicable documentation for the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SECURITIES AND COMPLIANCE WITH THE SECURITIES ACT.</w:t>
      </w:r>
    </w:p>
    <w:p>
      <w:pPr>
        <w:spacing w:after="0" w:line="225"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890"/>
        <w:spacing w:after="0" w:line="251" w:lineRule="auto"/>
        <w:tabs>
          <w:tab w:leader="none" w:pos="134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The Company shall prepare and file, on or before the date that is forty-five (45) days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with the Commission a Registration Statement on Form S-1 (or, if the Company determines, in its sole discretion, it is eligible to register for resale the Shares and Warrant Shares (together with any shares of capital stock issued or issuable, from time to time, upon any reclassification, share combination, share subdivision, stock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on Form S-3, such registration may, at the Company’s sole discretion, be on Form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relating to and providing for the resale of the Shares and Warrant Shares by the Purchasers on a continuous basis pursuant to Rule 415 under the Securities Act or, if Rule 415 is not available for offers and sales of the Registrable Securities, by such other means of distribution of Registrable Securities as the Purchasers may reasonably specify. Notwithstanding the foregoing, if the Commission prevents the Company from including any or all of the Registrable Securities on the Secondary Registration Statement due to limitations on the use of Rule 415 of the Securities Act for the resale of the Registrable Securities (and notwithstanding that the Company used diligent efforts to advocate with the staff of the Commission for the registration of all or a greater portion of the Registrable Securities), the Secondary Registration Statement shall register for resale such number of Registrable Securities that is equal to the maximum number of Registrable Securities as is permitted by the Commission. In such event, the number of Registrable Securities for which resale is to be registered for each selling shareholder named in the Secondary Registration Statement shall be reduced pro rata among all such selling shareholders and as promptly as practicable after being permitted to register additional Registrable Securities under Rule 415 under the Securities Act, the Company amend the Secondary Registration Statement or file one or more new registration statement(s) (such amendment or new registration statement, a “</w:t>
      </w:r>
      <w:r>
        <w:rPr>
          <w:rFonts w:ascii="Times New Roman" w:cs="Times New Roman" w:eastAsia="Times New Roman" w:hAnsi="Times New Roman"/>
          <w:sz w:val="18"/>
          <w:szCs w:val="18"/>
          <w:b w:val="1"/>
          <w:bCs w:val="1"/>
          <w:i w:val="1"/>
          <w:iCs w:val="1"/>
          <w:color w:val="auto"/>
        </w:rPr>
        <w:t>Remainder Registration Statement</w:t>
      </w:r>
      <w:r>
        <w:rPr>
          <w:rFonts w:ascii="Times New Roman" w:cs="Times New Roman" w:eastAsia="Times New Roman" w:hAnsi="Times New Roman"/>
          <w:sz w:val="18"/>
          <w:szCs w:val="18"/>
          <w:color w:val="auto"/>
        </w:rPr>
        <w:t>”) to register such additional Registrable Securities not included in the Secondary Registration Statement and cause such Remainder Registration Statement to become effective as promptly as practicable after the filing thereof, but in any event no later than sixty (60) calendar days after the filing of such Remainder Registration Statement (the “</w:t>
      </w:r>
      <w:r>
        <w:rPr>
          <w:rFonts w:ascii="Times New Roman" w:cs="Times New Roman" w:eastAsia="Times New Roman" w:hAnsi="Times New Roman"/>
          <w:sz w:val="18"/>
          <w:szCs w:val="18"/>
          <w:b w:val="1"/>
          <w:bCs w:val="1"/>
          <w:i w:val="1"/>
          <w:iCs w:val="1"/>
          <w:color w:val="auto"/>
        </w:rPr>
        <w:t>Remainder 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Remainder Effectiveness Deadline shall be extended to ninety (90) calendar days after the filing of such Remainder Registration Statement if the SEC notifies the Company that it will “review” such Remainder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notwithstanding the foregoing, that the Company shall use reasonable best efforts to have such Remainder Registration Statement declared effective within five (5) business days after the date the Company is notified orally or in writing (whichever is earlier) by the Commission that such Remainder Registration Statement will not be reviewed or will not be subject to further review. Any failure by the Company to file the Secondary Registration Statement by the Filing Deadline or to effect the Secondary Registration Statement by the Effectiveness Deadline (as defined below) or the Remainder Registration Statement by the Remainder Effectiveness Deadline shall not otherwise relieve the Company of its obligations to file or effect the Secondary Registration Statement or Remainder Registration Statement set forth in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In the event the Company files a Secondary Registration Statement on Form S-1, the Company may, in its sole discretion, convert the Secondary Registration Statement (and any Remainder Registration Statement) to a Registration Statement on Form S-3 if the Company is eligible, in its sole determination, to use Form S-3.</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jc w:val="both"/>
        <w:ind w:firstLine="890"/>
        <w:spacing w:after="0" w:line="254" w:lineRule="auto"/>
        <w:tabs>
          <w:tab w:leader="none" w:pos="14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subject to receipt of necessary information from the Purchasers, to cause the Commission to declare a Secondary Registration Statement covering the Shares and Warrant Shares effective as soon as practicable after the date of the filing thereof and in any event no later than the earlier of (i) thirty (30) days after such filing if the Secondary Registration Statement has been filed on Form S-3, and no later than sixty (60) days after such filing if such Secondary Registration Statement has been filed on Form S-1 (or, in either case, in the event the staff of the Commission reviews and has written comments, ninety (90) after such filing), and in either case, no later than thirty (30) days after</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such filing in the event the Secondary Registration Statement is not reviewed by the Commission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date the Company is notified (orally or in writing, whichever is earlier) by the Commission that the Secondary Registration Statement will not be reviewed or will not be subject to further review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both"/>
        <w:ind w:firstLine="890"/>
        <w:spacing w:after="0" w:line="261" w:lineRule="auto"/>
        <w:tabs>
          <w:tab w:leader="none" w:pos="132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Secondary Registration Statement and the prospectus used in connection therewith as may be necessary to keep the Secondary Registration Statement effective until the earliest of</w:t>
      </w:r>
    </w:p>
    <w:p>
      <w:pPr>
        <w:jc w:val="both"/>
        <w:ind w:firstLine="8"/>
        <w:spacing w:after="0" w:line="253" w:lineRule="auto"/>
        <w:tabs>
          <w:tab w:leader="none" w:pos="28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all of the Shares and Warrant Shares purchased by the Purchasers pursuant to the terms of this Agreement have been sold or otherwise transferred by the holder thereof pursuant to and in a manner contemplated by such Secondary Registration Statement, (ii) such time as such Shares or Warrant Shares are sold pursuant to Rule 144 under circumstances in which any legend borne by such security relating to restrictions on transferability thereof, under the Securities Act or otherwise, is removed by the Company, or (iii) such time as the Shares and Warrant Shares become eligible for resale by non-Affiliates without any volume limitations or other restrictions pursuant to Rule 144(b)(1)(i) or any other rule of similar effect.</w:t>
      </w:r>
    </w:p>
    <w:p>
      <w:pPr>
        <w:spacing w:after="0" w:line="186" w:lineRule="exact"/>
        <w:rPr>
          <w:rFonts w:ascii="Times New Roman" w:cs="Times New Roman" w:eastAsia="Times New Roman" w:hAnsi="Times New Roman"/>
          <w:sz w:val="18"/>
          <w:szCs w:val="18"/>
          <w:color w:val="auto"/>
        </w:rPr>
      </w:pPr>
    </w:p>
    <w:p>
      <w:pPr>
        <w:jc w:val="both"/>
        <w:ind w:firstLine="890"/>
        <w:spacing w:after="0" w:line="251" w:lineRule="auto"/>
        <w:tabs>
          <w:tab w:leader="none" w:pos="129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xml:space="preserve">”), delay the filing of a Secondary Registration Statement or a request for acceleration of the effective date, or suspend the effectiveness of any Secondary Registration Statement, in the event that (A) the Company is engaged in any activity or transaction or preparations or negotiations for any activity or transaction that the Company desires to keep confidential for business reasons, if the Company’s Board of Directors, on the advice of the Company’s outside legal counsel, determines in good faith that the public disclosure requirements imposed on the Company under the Securities Act in connection with the Secondary Registration Statement would require at that time disclosure of such activity, transaction, preparations or negotiations in the Secondary Registration Statement and such disclosure in the Secondary Registration Statement could result in material harm to the Company or its business transactions or activities and the non-disclosure of which in the Secondary Registration Statement would be expected, in the reasonable determination of the Company’s Board of Directors, upon advice of the Company’s outside legal counsel, to cause the Secondary Registration Statement to fail to comply with applicable disclosure requirements, (B) the Company does not yet have appropriate financial statements of any acquired or to be acquired entities necessary for filing, either because such financial statements are not yet available or despite the Company using reasonable best efforts to procure such financial statements or (C) any other event occurs that makes any statement of a material fact made in such Secondary Registration Statement, including any document incorporated by reference therein, untrue or that requires the making of any additions or changes in the Secondary Registration Statement in order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a Blackout Period pursuant to clause (A) above, the Blackout Period shall terminate upon the earlier of (i) such forty-five (45) day period or (ii) the completion, resolution or public announcement of the relevant transaction or event. If the Company suspends the effectiveness of a Secondary Registration Statement pursuant to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Secondary Registration Statement and give written notice to the Purchasers authorizing the Purchasers to resume offerings and sales pursuant to such Secondary Registration Statement. If as a result thereof the prospectus included in such Secondary Registration Statement has been amended or supplemented to comply with the requirements of the Securities Act, the Company shall enclose such revised prospectus with the notice to each Purchaser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not more than once in any six (6) month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aggregate number of days of all Blackout Periods hereunder shall not exceed sixty (60) days in any twelve (12) month period. After the expiration of any Blackout Period and without further request from any Purchaser, the Company shall effect the filing (or if required amendment or supplement) of the Secondary Registration Statement, or the filing of other documents, as necessary to allow the Purchasers to resell the Registrable Securities as set forth herein. In providing to a Purchaser the written notice of a Blackout Period as contemplated by the first sentence of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the Company shall not (without the prior written consent of such Purchaser) disclose to such Purchaser any material nonpublic information giving rise to or otherwise associated with such Blackout Period.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890"/>
        <w:spacing w:after="0" w:line="266" w:lineRule="auto"/>
        <w:tabs>
          <w:tab w:leader="none" w:pos="129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notification by the Commission that the Secondary Registration Statement will not be reviewed or is not subject to further review by the Commission, the Company shall within three Business Days following the date of such notification request acceleration of such Secondary Registration Statement (with the requested effectiveness date to be not more than two Business Days later).</w:t>
      </w:r>
    </w:p>
    <w:p>
      <w:pPr>
        <w:spacing w:after="0" w:line="175" w:lineRule="exact"/>
        <w:rPr>
          <w:rFonts w:ascii="Times New Roman" w:cs="Times New Roman" w:eastAsia="Times New Roman" w:hAnsi="Times New Roman"/>
          <w:sz w:val="18"/>
          <w:szCs w:val="18"/>
          <w:color w:val="auto"/>
        </w:rPr>
      </w:pPr>
    </w:p>
    <w:p>
      <w:pPr>
        <w:jc w:val="both"/>
        <w:ind w:firstLine="890"/>
        <w:spacing w:after="0" w:line="261" w:lineRule="auto"/>
        <w:tabs>
          <w:tab w:leader="none" w:pos="112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and Warrant Shares registered under any Secondary Registration Statement (and to each underwriter, if any, of such Shares and Warrant Shares) such number of copies of prospectuses and such other documents as the Purchaser may reasonably request, in order to facilitate the public sale or other disposition of all or any of the Shares and/or Warrant Shares by the Purchaser.</w:t>
      </w:r>
    </w:p>
    <w:p>
      <w:pPr>
        <w:spacing w:after="0" w:line="179" w:lineRule="exact"/>
        <w:rPr>
          <w:rFonts w:ascii="Times New Roman" w:cs="Times New Roman" w:eastAsia="Times New Roman" w:hAnsi="Times New Roman"/>
          <w:sz w:val="18"/>
          <w:szCs w:val="18"/>
          <w:color w:val="auto"/>
        </w:rPr>
      </w:pPr>
    </w:p>
    <w:p>
      <w:pPr>
        <w:jc w:val="both"/>
        <w:ind w:firstLine="890"/>
        <w:spacing w:after="0" w:line="261" w:lineRule="auto"/>
        <w:tabs>
          <w:tab w:leader="none" w:pos="139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and Warrant Shares pursuant to the Secondary Registration Statement, other than fees and expenses, if any, of counsel or other advisers to the Purchasers or underwriting discounts, brokerage fees and commissions incurred by the Purchaser, if any in connection with the offering of the Shares and Warrant Shares pursuant to the Secondary Registration Statement.</w:t>
      </w:r>
    </w:p>
    <w:p>
      <w:pPr>
        <w:spacing w:after="0" w:line="179" w:lineRule="exact"/>
        <w:rPr>
          <w:rFonts w:ascii="Times New Roman" w:cs="Times New Roman" w:eastAsia="Times New Roman" w:hAnsi="Times New Roman"/>
          <w:sz w:val="18"/>
          <w:szCs w:val="18"/>
          <w:color w:val="auto"/>
        </w:rPr>
      </w:pPr>
    </w:p>
    <w:p>
      <w:pPr>
        <w:jc w:val="both"/>
        <w:ind w:firstLine="890"/>
        <w:spacing w:after="0" w:line="261" w:lineRule="auto"/>
        <w:tabs>
          <w:tab w:leader="none" w:pos="129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and Warrant Shares under Rule 144 (or its successor) and any other rule or regulation of the Commission that may at any time permit the Purchasers to sell shares of Common Stock to the public without registration, the Company shall use its reasonable best efforts to comply with the requirements of Rule 144, including without limitation, the requirements of Rule 144(c)(1) with respect to public information about the Company and to timely file all reports and other documents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890"/>
        <w:spacing w:after="0" w:line="253" w:lineRule="auto"/>
        <w:tabs>
          <w:tab w:leader="none" w:pos="127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the Purchasers a reasonable opportunity to review and comment on all disclosures regarding the Purchasers and any plan of distribution proposed by them in connection with the preparation of any Secondary Registration Statement not less than five (5) Business Days prior to the filing of such Secondary Registration Statement. Notwithstanding anything to the contrary contained herein, in no event shall the Company be permitted to name any Purchaser or Affiliate of a Purchaser as an “underwriter” without the prior written consent of such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Commission requires that a Purchaser be identified as a statutory underwriter in either the Secondary Registration Statement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Remainder Registration Statement, such Purchaser will have the option, in its sole and absolute discretion, to either (i) have the opportunity to withdraw from the Secondary Registration Statement or Remainder Registration Statement, as the case may be, upon its prompt written request to the Company or</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included as such in the Secondary Registration Statement or Remainder Registration Statement, as the case may be.</w:t>
      </w:r>
    </w:p>
    <w:p>
      <w:pPr>
        <w:spacing w:after="0" w:line="206" w:lineRule="exact"/>
        <w:rPr>
          <w:rFonts w:ascii="Times New Roman" w:cs="Times New Roman" w:eastAsia="Times New Roman" w:hAnsi="Times New Roman"/>
          <w:sz w:val="18"/>
          <w:szCs w:val="18"/>
          <w:color w:val="auto"/>
        </w:rPr>
      </w:pPr>
    </w:p>
    <w:p>
      <w:pPr>
        <w:ind w:left="1240" w:hanging="350"/>
        <w:spacing w:after="0"/>
        <w:tabs>
          <w:tab w:leader="none" w:pos="12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6.1(c) – (g) shall also apply with respect to the Remainder Registration Statement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Securities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or any other applicable exemption from the registration requirements under the Securities Act. Notwithstanding the preceding sentence, no restriction shall apply to a transfer by a Purchaser that is (i) a partnership transferring to its partners or former partners in accordance with partnership interests, or (ii) a limited liability company transferring to its members or former members in accordance with member interests.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officer, director, agent, partner, member, manager, stockholder, affiliate or employee of the Purchaser, and any investment adviser of a Purchaser, or any transferee who is an affiliate of a Purchaser, and any person who controls a Purchaser or any affiliate of the Purchaser within the meaning of Section 15 of the Securities Act or Section 20 of the Exchange Act (and the officers, directors, partners, members, managers, stockholders, agents, investment advisers and employees of such controlling person);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free writing prospectus, exhibit, supplement or amendment included in or relating to, and any document incorporated by reference in, the Secondary Registration Statement and any Remainder Registration Statement pursuant to this Agreement.</w:t>
      </w:r>
    </w:p>
    <w:p>
      <w:pPr>
        <w:spacing w:after="0" w:line="187" w:lineRule="exact"/>
        <w:rPr>
          <w:sz w:val="20"/>
          <w:szCs w:val="20"/>
          <w:color w:val="auto"/>
        </w:rPr>
      </w:pPr>
    </w:p>
    <w:p>
      <w:pPr>
        <w:jc w:val="both"/>
        <w:ind w:firstLine="890"/>
        <w:spacing w:after="0" w:line="251" w:lineRule="auto"/>
        <w:tabs>
          <w:tab w:leader="none" w:pos="129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Purchaser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such consent not to be unreasonably withheld or delayed),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or incorporated by reference therein, as amended at the time of effectiveness of the Registration Statement, including any information deemed to be a part thereof as of the time of effectiveness pursuant to paragraph (b) of Rule 430A under the Securities Act, or pursuant to Rules 430B, 430C or 434 under the Securities Act, or the Prospectus, in the form first filed with the Commission pursuant to Rule 424(b) under the Securities Act,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(ii) any violation or alleged violation by the Company or its agents of the Securities Act, the Exchange Act, or any other federal or state securities law or any rule or regulation thereunder, in connection with the performance or non-performance of its obligations under this Agreement or any action or inaction required of the Company in connection with any registration pursuant to this Agreement or (iii)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with respect to the transactions contemplated by this Agreement,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(ii) the inaccuracy of any representation or warranty made by such Purchaser herein or (iii) any statement or omission in any Prospectus that is corrected in any subsequent Prospectus that was delivered to the Purchaser prior to the pertinent sale or sales by the Purchaser.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jc w:val="both"/>
        <w:ind w:firstLine="890"/>
        <w:spacing w:after="0" w:line="251" w:lineRule="auto"/>
        <w:tabs>
          <w:tab w:leader="none" w:pos="131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(and the officers, directors, partners, members, managers, stockholders, agents, investment advisers and employees of such controlling person), against any losses, claims, damages, liabilities or expenses that the Company, each of its directors, each of its officers who signed the Registration Statement or controlling person (and the officers, directors, partners, members, managers, stockholders, agents, investment advisers and employees of such controlling person) reasonably incurs, under the Securities Act, the Exchange Act, or any other federal or state statutory law or regulation, or at common law or otherwise (including in settlement of any litigation, but only if such settlement is effected with the written consent of such Purchaser, such consent not to be unreasonably withheld or delayed) insofar as such losses, claims, damages, liabilities or expenses (or actions in respect thereof as contemplated below) arise out of or are based upon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(and the officers, directors, partners, members, managers, stockholders, agents, investment advisers and employees of such controlling person) for any legal and other expense reasonably incurred by the Company, each of its directors, each of its officers who signed the Registration Statement or controlling person (and the officers, directors, partners, members, managers, stockholders, agents, investment advisers and employees of such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Registrable Securities pursuant to the Registration Statement giving rise to such indemnification obligation,</w:t>
      </w:r>
    </w:p>
    <w:p>
      <w:pPr>
        <w:spacing w:after="0" w:line="8" w:lineRule="exact"/>
        <w:rPr>
          <w:rFonts w:ascii="Times New Roman" w:cs="Times New Roman" w:eastAsia="Times New Roman" w:hAnsi="Times New Roman"/>
          <w:sz w:val="18"/>
          <w:szCs w:val="18"/>
          <w:color w:val="auto"/>
        </w:rPr>
      </w:pPr>
    </w:p>
    <w:p>
      <w:pPr>
        <w:jc w:val="both"/>
        <w:ind w:firstLine="8"/>
        <w:spacing w:after="0" w:line="252" w:lineRule="auto"/>
        <w:tabs>
          <w:tab w:leader="none" w:pos="2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Purchaser will not be liable for amounts paid in settlement of any such loss, claim, damage, liability or action if such settlement is effected without the written consent of such Purchaser, and (iii) a Purchaser will not be liable in any such case to the extent that any such loss, claim, damage, liability or expense arises out of or is based upon the gross negligence, fraud or willful misconduct of the Company, any of Company’s directors, any of Company’s officers who signed the Registration Statement or any person who controls the Company within the meaning of Section 15 of the Securities Act or Section 20 of the Exchange Act (or the officers, directors, partners, members, managers, stockholders, agents, investment advisers and employees of such controlling person).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firstLine="890"/>
        <w:spacing w:after="0" w:line="251" w:lineRule="auto"/>
        <w:tabs>
          <w:tab w:leader="none" w:pos="13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approval shall not be unreasonably withheld or delayed. No indemnifying party shall, without the prior written consent of the indemnified party, effect any settlement of or consent to the entry of any judgment in any pending or threatened proceeding in respect of which any indemnified party is or could have been a party and indemnification could have been sought hereunder by such indemnified party, unless such settlement or judgment (x) includes an unconditional release of such indemnified party from all liability on claims that are the subject matter of such proceeding, (y) imposes no liability or obligation on the indemnified person and (z) does not include any admission of fault, culpability, wrongdoing or malfeasance by or on behalf of the indemnified person. The indemnifying party shall notify the indemnified party promptly of the institution, threat or assertion of any proceeding in connection with, arising out of, as a result of, relating to or based upon the transactions contemplated by this Agreement of which the indemnifying party is aware. Such indemnity shall remain in full force and effect regardless of any investigation made by or on behalf of such indemnified party and shall survive the transfer of any of the Securities by any of the Purchasers as permitted by this Agreement. 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paid to such indemnified party, as incurred, within ten (10) Business Days of written notice thereof to the indemnifying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indemnified party shall promptly reimburse the indemnifying party for that portion of such fees and expenses applicable to such actions for which such indemnified party is finally judicially determined by a court of competent jurisdiction (which determination is not subject to appeal or further review) not to be entitled to indemnification hereunder.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firstLine="890"/>
        <w:spacing w:after="0" w:line="251" w:lineRule="auto"/>
        <w:tabs>
          <w:tab w:leader="none" w:pos="129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Securities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Securities purchased by such Purchaser that were sold pursuant to the Registration Statement bears to the difference (the “</w:t>
      </w:r>
      <w:r>
        <w:rPr>
          <w:rFonts w:ascii="Times New Roman" w:cs="Times New Roman" w:eastAsia="Times New Roman" w:hAnsi="Times New Roman"/>
          <w:sz w:val="18"/>
          <w:szCs w:val="18"/>
          <w:b w:val="1"/>
          <w:bCs w:val="1"/>
          <w:i w:val="1"/>
          <w:iCs w:val="1"/>
          <w:color w:val="auto"/>
        </w:rPr>
        <w:t>Difference</w:t>
      </w:r>
      <w:r>
        <w:rPr>
          <w:rFonts w:ascii="Times New Roman" w:cs="Times New Roman" w:eastAsia="Times New Roman" w:hAnsi="Times New Roman"/>
          <w:sz w:val="18"/>
          <w:szCs w:val="18"/>
          <w:color w:val="auto"/>
        </w:rPr>
        <w:t xml:space="preserve">”) between the amount such Purchaser paid for the Securities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(i) no Purchaser shall be required to contribute any amount in excess of the amount by which the Difference exceeds the amount of any damages that such Purchaser has otherwise been required to pay by reason of such untrue or alleged untrue statement or omission or alleged omission and (ii) each Purchaser’s aggregate liability under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shall not exceed the amount of net proceeds received by such Purchaser on the sale of the Registrable Securities pursuant to the Registration Statement giving rise to such indemnification or contribution obligation.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are several and not joint.</w:t>
      </w:r>
    </w:p>
    <w:p>
      <w:pPr>
        <w:spacing w:after="0" w:line="198"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any deemed underwriter participating in any disposition pursuant to the Secondary Registration Statement or the Remainder Registration Statement and any attorney, accountant or other agent retained by deemed underwriter, all financial and other records, pertinent corporate documents and properties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Delay in Filing or Effectiveness of Secondary Registration Statement</w:t>
      </w:r>
      <w:r>
        <w:rPr>
          <w:rFonts w:ascii="Times New Roman" w:cs="Times New Roman" w:eastAsia="Times New Roman" w:hAnsi="Times New Roman"/>
          <w:sz w:val="18"/>
          <w:szCs w:val="18"/>
          <w:color w:val="auto"/>
        </w:rPr>
        <w:t xml:space="preserve">. If a Secondary Registration Statement covering the Shares and Warrant Shares is not filed on or prior to the Filing Deadline, then for each day following the Filing Deadline or Effectiveness Deadline, as applicable, until but excluding the date the Company files, the Company shall, for each such day, pay each Purchaser with respect to any such failure, as liquidated damages and not as a penalty, an amount per thirty (30)-day period equal to 1.5% of the purchase price paid by such Purchaser for its Shares and Warrant Shares pursuant to this Agreement (calculated on a daily pro rata basis for any portion of such thirty (30)-day period prior to the cure of such failure); and for any such thirty (30)-day period (or earlier period if such failure is cured prior to thirty (30) days), such payment shall be made no later than three (3) Business Days following such thirty (30)-day period (or earlier period if such failure is cured prior to thirty (30) days). Notwithstanding any other provision herein, with respect to a Purchaser (i) the Filing Deadline and Effectiveness Deadline for a Secondary Registration Statement shall be extended, without default by or liquidated damages payable by the Company to such Purchaser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if the Company’s failure to make such filing or obtain such effectiveness results from the failure of such Purchaser to timely provide the Company with information requested by the Company and necessary to complete a Secondary Registration Statement in accordance with the requirements of the Securities Act (in which case any such deadline would be extended with respect to all Registrable Securities held by such Purchaser until such time as the Purchaser provides such requested information), it being understood that the failure of such Purchaser to timely provide such information to the Company shall not affect the rights of other Purchasers herein, and</w:t>
      </w:r>
    </w:p>
    <w:p>
      <w:pPr>
        <w:spacing w:after="0" w:line="5" w:lineRule="exact"/>
        <w:rPr>
          <w:sz w:val="20"/>
          <w:szCs w:val="20"/>
          <w:color w:val="auto"/>
        </w:rPr>
      </w:pPr>
    </w:p>
    <w:p>
      <w:pPr>
        <w:jc w:val="both"/>
        <w:ind w:firstLine="8"/>
        <w:spacing w:after="0" w:line="255" w:lineRule="auto"/>
        <w:tabs>
          <w:tab w:leader="none" w:pos="27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be obligated to pay any liquidated damages pursuant to this Section 6.5 to more than one Purchaser in respect of the same Shares or Warrant Shares for the same period of time or in an aggregate amount that exceeds 10.0% of the purchase price paid by the Purchasers for the Shares and Warrant Shares pursuant to this Agreement. Such payments shall be made to the Purchasers in cash.</w:t>
      </w:r>
    </w:p>
    <w:p>
      <w:pPr>
        <w:spacing w:after="0" w:line="182"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No Piggyback on Registrations</w:t>
      </w:r>
      <w:r>
        <w:rPr>
          <w:rFonts w:ascii="Times New Roman" w:cs="Times New Roman" w:eastAsia="Times New Roman" w:hAnsi="Times New Roman"/>
          <w:sz w:val="18"/>
          <w:szCs w:val="18"/>
          <w:color w:val="auto"/>
        </w:rPr>
        <w:t xml:space="preserve">. Neither the Company nor any of its security holders (other than the Purchasers in such capacity pursuant hereto) may include securities of the Company in the Secondary Registration Statement other than the Registrable Securities. The Company shall not file any other registration statements, other than any registration statements on Form S-4 or Form S-8 (each as promulgated under the Securities Act), prior to the Effective Date of the Secondary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not prohibit the Company from filing amendments to registration statements filed prior to the date of this Agreement.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FEE.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Each of the Company and the Purchasers (on a several but not joint basis) hereby represents that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or other similar fee or commission in connection with the transactions contemplated by this Agreement, other than fees payable by the Company to the Placement Agents, which will be paid by the Company. The Company agrees to indemnify each Purchaser for any claims, losses or expenses incurred by such Purchaser as a result of the Company’s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Blue Sky Filings</w:t>
      </w:r>
      <w:r>
        <w:rPr>
          <w:rFonts w:ascii="Times New Roman" w:cs="Times New Roman" w:eastAsia="Times New Roman" w:hAnsi="Times New Roman"/>
          <w:sz w:val="18"/>
          <w:szCs w:val="18"/>
          <w:color w:val="auto"/>
        </w:rPr>
        <w:t>. The Company will take such action as the Company shall reasonably determine is necessary in order to obtain an exemption from, or to qualify the Securities for, sale to the Purchasers at the Closing pursuant to this Agreement under applicable securities or “Blue Sky” laws of the states of the United States, and shall provide evidence of such actions promptly upon the written request of any Purchaser. Notwithstanding the foregoing,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2"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stock transfer or other taxes (other than income taxes) that are required to be paid in connection with the issuance, sale and delivery of the Securities to the Purchasers hereunder will be fully paid or provided for by the Company and all laws imposing such taxes will have been fully complied with and the Purchasers and their respective Affiliates shall have no obligation therefor.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Stock</w:t>
      </w:r>
      <w:r>
        <w:rPr>
          <w:rFonts w:ascii="Times New Roman" w:cs="Times New Roman" w:eastAsia="Times New Roman" w:hAnsi="Times New Roman"/>
          <w:sz w:val="18"/>
          <w:szCs w:val="18"/>
          <w:color w:val="auto"/>
        </w:rPr>
        <w:t xml:space="preserve">. The Company shall promptly secure the listing of the Shares and Warrant Shares upon the Trading Market and each other national securities exchange and automated quotation system that requires an application by the Company for listing, if any, upon which shares of Common Stock are then listed (subject to official notice of issuance) and shall maintain such listing, so long as any other shares of Common Stock shall be so listed. The Company shall use its reasonable best efforts to maintain the Common Stock’s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Reservation of Common Stock.</w:t>
      </w:r>
      <w:r>
        <w:rPr>
          <w:rFonts w:ascii="Times New Roman" w:cs="Times New Roman" w:eastAsia="Times New Roman" w:hAnsi="Times New Roman"/>
          <w:sz w:val="18"/>
          <w:szCs w:val="18"/>
          <w:color w:val="auto"/>
        </w:rPr>
        <w:t xml:space="preserve"> As of the date hereof, the Company has reserved and the Company shall continue to reserve and keep available at all times, free of preemptive rights, a sufficient number of shares of Common Stock for the purpose of enabling the Company to issue the Warrant Shares that are issuable upon the exercise of the Warrants.</w:t>
      </w:r>
    </w:p>
    <w:p>
      <w:pPr>
        <w:spacing w:after="0" w:line="171"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Equal Treatment of Purchasers.</w:t>
      </w:r>
      <w:r>
        <w:rPr>
          <w:rFonts w:ascii="Times New Roman" w:cs="Times New Roman" w:eastAsia="Times New Roman" w:hAnsi="Times New Roman"/>
          <w:sz w:val="18"/>
          <w:szCs w:val="18"/>
          <w:color w:val="auto"/>
        </w:rPr>
        <w:t xml:space="preserve"> No consideration (including any modification of documents related hereto) shall be offered or paid to any Person to amend or consent to a waiver or modification of any provision of this Agreement or any documents related hereto unless the same consideration is also offered to all Purchasers hereunder. For clarification purposes, this provision constitutes a separate right granted to each Purchaser by the Company and negotiated separately by each Purchaser, and is intended for the Company to treat the Purchasers as a class (subject to the proviso in the preceding sentence) and shall not in any way be construed as the Purchasers acting in concert or as a group (including a “group” within the meaning of Section 13(d)</w:t>
      </w:r>
    </w:p>
    <w:p>
      <w:pPr>
        <w:spacing w:after="0" w:line="3" w:lineRule="exact"/>
        <w:rPr>
          <w:sz w:val="20"/>
          <w:szCs w:val="20"/>
          <w:color w:val="auto"/>
        </w:rPr>
      </w:pPr>
    </w:p>
    <w:p>
      <w:pPr>
        <w:jc w:val="both"/>
        <w:ind w:right="20" w:firstLine="8"/>
        <w:spacing w:after="0" w:line="255" w:lineRule="auto"/>
        <w:tabs>
          <w:tab w:leader="none" w:pos="2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with respect to the purchase, disposition or voting of securities or otherwise. The Company does not have, and will not enter into, any agreement or understanding with any Purchaser that affords such Purchaser any rights or terms with respect to the transactions contemplated by this Agreement (including the exhibits hereto) that are more beneficial to such Purchaser than those afforded to all other Purchasers hereunder.</w:t>
      </w:r>
    </w:p>
    <w:p>
      <w:pPr>
        <w:spacing w:after="0" w:line="182"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Pledge of Securities</w:t>
      </w:r>
      <w:r>
        <w:rPr>
          <w:rFonts w:ascii="Times New Roman" w:cs="Times New Roman" w:eastAsia="Times New Roman" w:hAnsi="Times New Roman"/>
          <w:sz w:val="18"/>
          <w:szCs w:val="18"/>
          <w:color w:val="auto"/>
        </w:rPr>
        <w:t xml:space="preserve">. The Company acknowledges and agrees that a Purchaser’s Securities may be pledged by a Purchaser in connection with a bona fide margin agreement or other loan or financing arrangement that is secured by the Securities. The pledge of Securities shall not be deemed to be a transfer, sale or assignment of the Shares hereunder, and no Purchaser effecting a pledge of Securities shall be required to provide the Company with any notice thereof or otherwise make any delivery to the Company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Purchaser and its pledgee shall be required to comply with the provisions of this Agreement in order to effect a sale, transfer or assignment of Shares to such pledgee.</w:t>
      </w:r>
    </w:p>
    <w:p>
      <w:pPr>
        <w:spacing w:after="0" w:line="179"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Adjustments in Share Numbers and Prices</w:t>
      </w:r>
      <w:r>
        <w:rPr>
          <w:rFonts w:ascii="Times New Roman" w:cs="Times New Roman" w:eastAsia="Times New Roman" w:hAnsi="Times New Roman"/>
          <w:sz w:val="18"/>
          <w:szCs w:val="18"/>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this Agreement to a number of shares or a price per share shall be deemed to be amended to appropriately account for such event.</w:t>
      </w:r>
    </w:p>
    <w:p>
      <w:pPr>
        <w:spacing w:after="0" w:line="17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b w:val="1"/>
          <w:bCs w:val="1"/>
          <w:color w:val="auto"/>
        </w:rPr>
        <w:t>Subsequent Equity Sales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80" w:hanging="690"/>
        <w:spacing w:after="0"/>
        <w:tabs>
          <w:tab w:leader="none" w:pos="15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later of (i) the date the Secondary Registration Statement is declared effective by the Commission, and</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the Effective Date, but in no event longer than 180 days after the Closing Date (the “</w:t>
      </w:r>
      <w:r>
        <w:rPr>
          <w:rFonts w:ascii="Times New Roman" w:cs="Times New Roman" w:eastAsia="Times New Roman" w:hAnsi="Times New Roman"/>
          <w:sz w:val="18"/>
          <w:szCs w:val="18"/>
          <w:b w:val="1"/>
          <w:bCs w:val="1"/>
          <w:i w:val="1"/>
          <w:iCs w:val="1"/>
          <w:color w:val="auto"/>
        </w:rPr>
        <w:t>Restriction End Date</w:t>
      </w:r>
      <w:r>
        <w:rPr>
          <w:rFonts w:ascii="Times New Roman" w:cs="Times New Roman" w:eastAsia="Times New Roman" w:hAnsi="Times New Roman"/>
          <w:sz w:val="18"/>
          <w:szCs w:val="18"/>
          <w:color w:val="auto"/>
        </w:rPr>
        <w:t>”), neither the Company nor any subsidiary shall issue, enter into any agreement to issue or announce the issuance or proposed issuance of any shares of Common Stock or Common Stock Equivalents.</w:t>
      </w:r>
    </w:p>
    <w:p>
      <w:pPr>
        <w:spacing w:after="0" w:line="185" w:lineRule="exact"/>
        <w:rPr>
          <w:rFonts w:ascii="Times New Roman" w:cs="Times New Roman" w:eastAsia="Times New Roman" w:hAnsi="Times New Roman"/>
          <w:sz w:val="18"/>
          <w:szCs w:val="18"/>
          <w:color w:val="auto"/>
        </w:rPr>
      </w:pPr>
    </w:p>
    <w:p>
      <w:pPr>
        <w:ind w:left="1540" w:hanging="650"/>
        <w:spacing w:after="0"/>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Restriction End Date, the Company shall not enter into a Variable Rate Transaction.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ind w:left="1540" w:hanging="650"/>
        <w:spacing w:after="0"/>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not apply in respect of an Exempt Issuance or an Exempt Filing.</w:t>
      </w:r>
    </w:p>
    <w:p>
      <w:pPr>
        <w:spacing w:after="0" w:line="221" w:lineRule="exact"/>
        <w:rPr>
          <w:sz w:val="20"/>
          <w:szCs w:val="20"/>
          <w:color w:val="auto"/>
        </w:rPr>
      </w:pPr>
    </w:p>
    <w:p>
      <w:pPr>
        <w:jc w:val="both"/>
        <w:ind w:firstLine="450"/>
        <w:spacing w:after="0" w:line="251"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color w:val="auto"/>
        </w:rPr>
        <w:t>Legend Removal</w:t>
      </w:r>
      <w:r>
        <w:rPr>
          <w:rFonts w:ascii="Times New Roman" w:cs="Times New Roman" w:eastAsia="Times New Roman" w:hAnsi="Times New Roman"/>
          <w:sz w:val="18"/>
          <w:szCs w:val="18"/>
          <w:color w:val="auto"/>
        </w:rPr>
        <w:t>. The Company shall, at its sole expense, upon appropriate notice from any Purchaser stating that Registrable Securities have been sold pursuant to an effective Secondary Registration Statement or Remainder Registration Statement, under Rule 144, or any other exemption from the registration requirements under the Securities Act, within the Standard Settlement Period of such notice if such notice is received before 5:00 p.m. on a Business Day (and if such notice is received after 5:00 p.m. Eastern time on a Business Day, within the Standard Settlement Period from the following Business Day), cause its transfer agent to timely prepare and deliver certificates or book-entry shares representing the Shares and Warrant Shares to be delivered to a transferee pursuant to such sale,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Secondary Registration Statement or the Remainder Registration Statement is effective, to issue to the transfer agent a “blanket” legal opinion to allow sales without restriction pursuant to the effective Secondary Registration Statement or the Remainder Registration Statement, and (ii) provide all other opinions as may reasonably be required by the transfer agent in connection with the removal of legends. A Purchaser may request that the Company remove, and the Company agrees to authorize the removal of, any legend from such Securities, following the delivery by a Purchaser to the Company or the Company’s transfer agent of either a legended certificate representing such Securities or, if the Securities are issued in book-entry form, a written request for legend removal: (i) following any sale of such Securities pursuant to Rule 144 or any other applicable exemption from the registration requirements under the Securities Act, or (ii) following the time that the Secondary Registration Statement or the Remainder Registration Statement is declared effective. If a legend removal request is made pursuant to the foregoing, the Company will, no later than the Standard Settlement Period following the delivery by a Purchaser to the Company or the Company’s transfer agent of a legended certificate representing such Securities (or a request for legend removal, in the case of Securities issued in book-entry form), deliver or cause to be delivered to such Purchaser a certificate representing such Securities that is free from all restrictive legends or an equivalent book-entry position, as requested by the Purchaser. Certificates for Securities free from all restrictive legends may be transmitted by the Company’s transfer agent to a Purchaser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Securities shall otherwise be freely transferable on the books and records of the Company as and to the extent provided in this Agreement. If a Purchaser effects a transfer of the Securities in accordance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is predicated upon the Company’s reliance that such Purchaser will sell any such Securities pursuant to either the registration requirements of the Securities Act, including any applicable prospectus delivery requirements, or an exemption therefrom, and such Purchaser shall deliver a certificate reasonably satisfactory to the Company to the foregoing effect. Prior to the Company and its transfer agent agreeing to a form of representation letter to be given in connection with any legend removal opinion, the Company shall allow each Purchaser to review such form and shall cooperate, reasonably and in good faith, and accept reasonable comments thereto from the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Purchaser be required to agree to indemnify, defend or hold harmless any Person.</w:t>
      </w:r>
    </w:p>
    <w:p>
      <w:pPr>
        <w:spacing w:after="0" w:line="202" w:lineRule="exact"/>
        <w:rPr>
          <w:sz w:val="20"/>
          <w:szCs w:val="20"/>
          <w:color w:val="auto"/>
        </w:rPr>
      </w:pPr>
    </w:p>
    <w:p>
      <w:pPr>
        <w:jc w:val="both"/>
        <w:ind w:right="20" w:firstLine="450"/>
        <w:spacing w:after="0" w:line="286"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The Company shall use the net proceeds from the sale of the Securities hereunder to fund research and development of its clinical-stage product candidate, neflamapimod, working capital and general corporate purposes.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1260" w:hanging="370"/>
        <w:spacing w:after="0"/>
        <w:tabs>
          <w:tab w:leader="none" w:pos="12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John Alam, MD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Mintz, Levin, Cohn, Ferris, Glovsky &amp; Popeo, P.C.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William C. Hicks; Jason S. McCaffrey</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25" w:lineRule="exact"/>
        <w:rPr>
          <w:sz w:val="20"/>
          <w:szCs w:val="20"/>
          <w:color w:val="auto"/>
        </w:rPr>
      </w:pPr>
    </w:p>
    <w:p>
      <w:pPr>
        <w:ind w:firstLine="890"/>
        <w:spacing w:after="0" w:line="282" w:lineRule="auto"/>
        <w:tabs>
          <w:tab w:leader="none" w:pos="132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Purchasers, to the applicable address set forth on such Purchaser’s signature page hereto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450"/>
        <w:spacing w:after="0" w:line="269"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Waivers and Amendments</w:t>
      </w:r>
      <w:r>
        <w:rPr>
          <w:rFonts w:ascii="Times New Roman" w:cs="Times New Roman" w:eastAsia="Times New Roman" w:hAnsi="Times New Roman"/>
          <w:sz w:val="17"/>
          <w:szCs w:val="17"/>
          <w:color w:val="auto"/>
        </w:rPr>
        <w:t xml:space="preserve">. Neither this Agreement nor any provision hereof may be changed, waived, discharged, terminated, modified or amended except upon the written consent of the Company and, if prior to the Closing, Purchasers that have subscribed for at least 50.1% of the Securities to be issued hereunder, and, if after the Closing, Purchasers holding at least 50.1% of the Securities issued hereunder and then held by all Purchasers, in the case of any change, discharge, termination, modification, or of the party hereto against whom the waiver is to be effective, in the case of a waiver,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if any amendment or waiver disproportionately and adversely affects a Purchaser (or a subset of Purchasers) in any material respect,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consent of such disproportionately affected Purchaser (or each Purchaser within such subset of Purchasers) shall also be required and (b) the consent of each Purchaser shall be required for any change in the Purchase Price, any change in the type of security to be issued to Purchasers at Closing, or the amendment, modification or waiver of this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10.14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or of any of the closing conditions set forth in </w:t>
      </w:r>
      <w:r>
        <w:rPr>
          <w:rFonts w:ascii="Times New Roman" w:cs="Times New Roman" w:eastAsia="Times New Roman" w:hAnsi="Times New Roman"/>
          <w:sz w:val="17"/>
          <w:szCs w:val="17"/>
          <w:u w:val="single" w:color="auto"/>
          <w:color w:val="auto"/>
        </w:rPr>
        <w:t>Sections 3.2(b)(i)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3.2(b)(iii)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3.2(b)(v)</w:t>
      </w:r>
      <w:r>
        <w:rPr>
          <w:rFonts w:ascii="Times New Roman" w:cs="Times New Roman" w:eastAsia="Times New Roman" w:hAnsi="Times New Roman"/>
          <w:sz w:val="17"/>
          <w:szCs w:val="17"/>
          <w:color w:val="auto"/>
        </w:rPr>
        <w: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The failure of any party at any time to require another party’s performance of any obligation under this Agreement shall not affect the right subsequently to require performance of that obligation.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450"/>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right="20" w:firstLine="450"/>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The agreements and covenants contained herein shall survive for the applicable statute of limitations.</w:t>
      </w:r>
    </w:p>
    <w:p>
      <w:pPr>
        <w:spacing w:after="0" w:line="155"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 or, to the extent no such court does not have subject matter jurisdiction, the state courts of the State of New York located in New York, New York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Each of the parties hereto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95"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Purchaser may assign its rights and delegate its duties hereunder in whole or in part to an Affiliate or to a third party acquiring some or all of the Securities in a transaction complying with applicable securities laws without the prior written consent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such assignee agrees in writing to be bound by the provisions hereof that apply to Purchasers. The Company may not assign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or any rights or obligations hereunder, in whole or in part, without the prior written consent of all Purchasers.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“Units,” “Shares”, “Series B Warrants,” “Series C” Warrants”, “Pre-Funded Warrants”, or “Warrant Shares” shall be deemed to refer to the securities received by the Purchasers in exchange therefor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85"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This Agreement is intended for the benefit of the parties hereto and the Placement Agents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Notwithstanding the foregoing, the Placement Agents shall be the third-party beneficiaries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The parties further agree that the Placement Agents may rely on or, if the Placement Agents so request, be specifically named as an addressee of, the Opinion.</w:t>
      </w:r>
    </w:p>
    <w:p>
      <w:pPr>
        <w:spacing w:after="0" w:line="179"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and schedules hereto or thereto, constitute the full and entire understanding and agreement between the parties hereto with regard to the subjects hereof and thereof and supersede all prior agreements and understandings, both oral and written, between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confidentiality agreement that the Company and any Purchaser may have entered into in contemplation of potentially entering into this Agreement, shall survive in accordance with its terms and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 and Rights</w:t>
      </w:r>
      <w:r>
        <w:rPr>
          <w:rFonts w:ascii="Times New Roman" w:cs="Times New Roman" w:eastAsia="Times New Roman" w:hAnsi="Times New Roman"/>
          <w:sz w:val="18"/>
          <w:szCs w:val="18"/>
          <w:color w:val="auto"/>
        </w:rPr>
        <w:t>. The obligations of each Purchaser under this Agreement are several and not joint with the obligations of any other Purchaser, and no Purchaser shall be responsible in any way for the performance of the obligations of any other Purchaser under this Agreement. The decision of each Purchaser to purchase Units pursuant to this Agreement has been made by such Purchaser independently of any other Purchaser.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(within the meaning of Section 13(d) of the Exchange Act or otherwise), or are deemed affiliates (as such term is defined under the Exchange Act) with respect to such obligations or the transactions contemplated by this Agreement. Each Purchaser shall be entitled to independently protect and enforce its rights, including the rights arising out of this Agreement, and it shall not be necessary for any other Purchaser to be joined as an additional party in any proceeding for such purpose. Each Purchaser acknowledges (i) that it is not relying upon any Person other than the Company and its officers and directors, in making its investment or decision to invest in the Company and (ii) no other Purchaser has acted as agent for such Purchaser in connection with making its investment hereunder and that no Purchaser will be acting as agent of such Purchaser in connection with monitoring its investment in the Securities or enforcing its rights hereunder.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Securities. The Company acknowledges that each of the Purchasers has been provided with the same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93"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Except as otherwise provided herein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6" w:lineRule="exact"/>
        <w:rPr>
          <w:sz w:val="20"/>
          <w:szCs w:val="20"/>
          <w:color w:val="auto"/>
        </w:rPr>
      </w:pPr>
    </w:p>
    <w:p>
      <w:pPr>
        <w:jc w:val="both"/>
        <w:ind w:right="20" w:firstLine="450"/>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Each party hereto agrees to execute, acknowledge, and deliver such further instruments, and to do all such other acts, as may be reasonably necessary or appropriate in order to carry out the purposes and intent of this Agreement.</w:t>
      </w:r>
    </w:p>
    <w:p>
      <w:pPr>
        <w:spacing w:after="0" w:line="15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Securities Law Disclosure</w:t>
      </w:r>
      <w:r>
        <w:rPr>
          <w:rFonts w:ascii="Times New Roman" w:cs="Times New Roman" w:eastAsia="Times New Roman" w:hAnsi="Times New Roman"/>
          <w:sz w:val="18"/>
          <w:szCs w:val="18"/>
          <w:color w:val="auto"/>
        </w:rPr>
        <w:t>. By no later than 9:00 A.M., New York City time, on the Trading Day immediately following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this Agreement is executed between midnight and 9:00 A.M., New York City time on any Trading Day, no later than 9:01 A.M. on the Effective Date), the Company shall issue a press release and/or file a Current Report on Form 8-K with the Commission (the “</w:t>
      </w: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w:t>
      </w:r>
      <w:r>
        <w:rPr>
          <w:rFonts w:ascii="Times New Roman" w:cs="Times New Roman" w:eastAsia="Times New Roman" w:hAnsi="Times New Roman"/>
          <w:sz w:val="18"/>
          <w:szCs w:val="18"/>
          <w:color w:val="auto"/>
        </w:rPr>
        <w:t>”) disclosing all material terms of the transactions contemplated by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of the Purchasers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Placement Agents shall be given a reasonable opportunity to review and comment on the disclosure contained in the Disclosure Document prior to issuance</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or filing. In addition, unless it has already done so by filing the Disclosure Document, on or before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Effective Date, the Company shall file a Current Report on Form 8-K with the Commission disclosing all material terms of the transactions contemplated by this Agreement. From and after the issuance of the Disclosure Document, no Purchaser shall be in possession of any material non-public information received from the Company or from any other representative of the Company in connection with the transactions contemplated by this Agreement, except in the case of information that may have been provided pursuant to any confidentiality agreement between the Company and a Purchaser or agreement between the Placement Agents and such Purchaser. Except for the Disclosure Document and the Current Report on Form 8-K contemplated by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(i) shall be terminated automatically if the Closing has not been consummated on or prior to the fifth Business Day from the Effective Date, or (ii) may be terminated by a Purchaser (with respect to itself) if any of the conditions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3.2(b)</w:t>
      </w:r>
      <w:r>
        <w:rPr>
          <w:rFonts w:ascii="Times New Roman" w:cs="Times New Roman" w:eastAsia="Times New Roman" w:hAnsi="Times New Roman"/>
          <w:sz w:val="18"/>
          <w:szCs w:val="18"/>
          <w:color w:val="auto"/>
        </w:rPr>
        <w:t xml:space="preserve"> shall have become incapable of fulfillment, and shall not have been waived by such Purchaser,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termination will affect the right of any party to sue for any breach by the other party (or parties), and, upon such termination pursuant to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any purchase price wired to the Company by a Purchaser shall be promptly returned to the Purchaser, but in no event later than the first Trading Day following such 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The Company shall not publicly disclose the name of any Purchaser or investment adviser of any Purchaser, or include the name of any Purchaser or an Affiliate of any Purchaser without the prior written consent of such Purchaser (i) in any press release or marketing materials or (ii) in any filing with the Commission or any regulatory agency or Trading Market, except as required by U.S. federal securities law (A) in connection with any Secondary Registration Statement or the Remainder Registration Statement contemplated by this Agreement and (B) to the extent such disclosure is required by law, request of the Commission’s staff or Trading Market regulations, in which case the Company shall provide the Purchasers with prior written notice of and an opportunity to review such disclosure permitted under this subclause (ii).</w:t>
      </w:r>
    </w:p>
    <w:p>
      <w:pPr>
        <w:spacing w:after="0" w:line="182"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The Company agrees that the Placement Agents, their respective affiliates and their respective representatives shall be entitled to (1) rely on, and shall be protected in acting upon, any certificate, instrument, opinion, notice, letter or any other document or security delivered to any Placement Agent or any Purchaser by or on behalf of the Company, and (2) be indemnified by the Company for acting as a Placement Agent in accordance with the indemnification provisions set forth in the Placement Agent Agreement.</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ind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3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770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William Elder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 &amp; General Counsel</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128" w:name="page129"/>
    <w:bookmarkEnd w:id="128"/>
    <w:p>
      <w:pPr>
        <w:ind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-7620</wp:posOffset>
            </wp:positionV>
            <wp:extent cx="10280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1380" w:type="dxa"/>
            <w:vAlign w:val="bottom"/>
            <w:tcBorders>
              <w:top w:val="single" w:sz="8" w:color="auto"/>
              <w:right w:val="single" w:sz="8" w:color="auto"/>
            </w:tcBorders>
            <w:shd w:val="clear" w:color="auto" w:fill="E6E6E6"/>
          </w:tcPr>
          <w:p>
            <w:pPr>
              <w:spacing w:after="0"/>
              <w:rPr>
                <w:sz w:val="18"/>
                <w:szCs w:val="18"/>
                <w:color w:val="auto"/>
              </w:rPr>
            </w:pPr>
          </w:p>
        </w:tc>
        <w:tc>
          <w:tcPr>
            <w:tcW w:w="1380" w:type="dxa"/>
            <w:vAlign w:val="bottom"/>
            <w:tcBorders>
              <w:top w:val="single" w:sz="8" w:color="auto"/>
              <w:right w:val="single" w:sz="8" w:color="auto"/>
            </w:tcBorders>
            <w:shd w:val="clear" w:color="auto" w:fill="E6E6E6"/>
          </w:tcPr>
          <w:p>
            <w:pPr>
              <w:spacing w:after="0"/>
              <w:rPr>
                <w:sz w:val="18"/>
                <w:szCs w:val="18"/>
                <w:color w:val="auto"/>
              </w:rPr>
            </w:pPr>
          </w:p>
        </w:tc>
        <w:tc>
          <w:tcPr>
            <w:tcW w:w="138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Borders>
              <w:top w:val="single" w:sz="8" w:color="auto"/>
              <w:right w:val="single" w:sz="8" w:color="auto"/>
            </w:tcBorders>
            <w:shd w:val="clear" w:color="auto" w:fill="E6E6E6"/>
          </w:tcPr>
          <w:p>
            <w:pPr>
              <w:spacing w:after="0"/>
              <w:rPr>
                <w:sz w:val="18"/>
                <w:szCs w:val="18"/>
                <w:color w:val="auto"/>
              </w:rPr>
            </w:pPr>
          </w:p>
        </w:tc>
        <w:tc>
          <w:tcPr>
            <w:tcW w:w="1420" w:type="dxa"/>
            <w:vAlign w:val="bottom"/>
            <w:tcBorders>
              <w:top w:val="single" w:sz="8" w:color="auto"/>
              <w:right w:val="single" w:sz="8" w:color="auto"/>
            </w:tcBorders>
            <w:shd w:val="clear" w:color="auto" w:fill="E6E6E6"/>
          </w:tcPr>
          <w:p>
            <w:pPr>
              <w:spacing w:after="0"/>
              <w:rPr>
                <w:sz w:val="18"/>
                <w:szCs w:val="18"/>
                <w:color w:val="auto"/>
              </w:rPr>
            </w:pPr>
          </w:p>
        </w:tc>
        <w:tc>
          <w:tcPr>
            <w:tcW w:w="1780" w:type="dxa"/>
            <w:vAlign w:val="bottom"/>
            <w:tcBorders>
              <w:top w:val="single" w:sz="8" w:color="auto"/>
              <w:right w:val="single" w:sz="8" w:color="auto"/>
            </w:tcBorders>
            <w:shd w:val="clear" w:color="auto" w:fill="E6E6E6"/>
          </w:tcPr>
          <w:p>
            <w:pPr>
              <w:spacing w:after="0"/>
              <w:rPr>
                <w:sz w:val="18"/>
                <w:szCs w:val="18"/>
                <w:color w:val="auto"/>
              </w:rPr>
            </w:pPr>
          </w:p>
        </w:tc>
      </w:tr>
      <w:tr>
        <w:trPr>
          <w:trHeight w:val="216"/>
        </w:trPr>
        <w:tc>
          <w:tcPr>
            <w:tcW w:w="2500" w:type="dxa"/>
            <w:vAlign w:val="bottom"/>
            <w:tcBorders>
              <w:left w:val="single" w:sz="8" w:color="auto"/>
              <w:right w:val="single" w:sz="8" w:color="auto"/>
            </w:tcBorders>
            <w:shd w:val="clear" w:color="auto" w:fill="E6E6E6"/>
          </w:tcPr>
          <w:p>
            <w:pPr>
              <w:spacing w:after="0"/>
              <w:rPr>
                <w:sz w:val="18"/>
                <w:szCs w:val="18"/>
                <w:color w:val="auto"/>
              </w:rPr>
            </w:pPr>
          </w:p>
        </w:tc>
        <w:tc>
          <w:tcPr>
            <w:tcW w:w="1380" w:type="dxa"/>
            <w:vAlign w:val="bottom"/>
            <w:tcBorders>
              <w:right w:val="single" w:sz="8" w:color="auto"/>
            </w:tcBorders>
            <w:shd w:val="clear" w:color="auto" w:fill="E6E6E6"/>
          </w:tcPr>
          <w:p>
            <w:pPr>
              <w:spacing w:after="0"/>
              <w:rPr>
                <w:sz w:val="18"/>
                <w:szCs w:val="18"/>
                <w:color w:val="auto"/>
              </w:rPr>
            </w:pPr>
          </w:p>
        </w:tc>
        <w:tc>
          <w:tcPr>
            <w:tcW w:w="13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40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Series</w:t>
            </w:r>
          </w:p>
        </w:tc>
        <w:tc>
          <w:tcPr>
            <w:tcW w:w="142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Series</w:t>
            </w:r>
          </w:p>
        </w:tc>
        <w:tc>
          <w:tcPr>
            <w:tcW w:w="17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Purchase</w:t>
            </w:r>
          </w:p>
        </w:tc>
      </w:tr>
      <w:tr>
        <w:trPr>
          <w:trHeight w:val="238"/>
        </w:trPr>
        <w:tc>
          <w:tcPr>
            <w:tcW w:w="250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Purchaser Name and Address</w:t>
            </w:r>
          </w:p>
        </w:tc>
        <w:tc>
          <w:tcPr>
            <w:tcW w:w="13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3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Warrants</w:t>
            </w:r>
          </w:p>
        </w:tc>
        <w:tc>
          <w:tcPr>
            <w:tcW w:w="142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Warrants</w:t>
            </w:r>
          </w:p>
        </w:tc>
        <w:tc>
          <w:tcPr>
            <w:tcW w:w="17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Price of Securities</w:t>
            </w:r>
          </w:p>
        </w:tc>
      </w:tr>
      <w:tr>
        <w:trPr>
          <w:trHeight w:val="209"/>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426"/>
        </w:trPr>
        <w:tc>
          <w:tcPr>
            <w:tcW w:w="25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209"/>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3,360,377</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1,767,514</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1,592,863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3,360,377</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3,360,377</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$10,549,990.92</w:t>
            </w:r>
          </w:p>
        </w:tc>
      </w:tr>
      <w:tr>
        <w:trPr>
          <w:trHeight w:val="1188"/>
        </w:trPr>
        <w:tc>
          <w:tcPr>
            <w:tcW w:w="2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Company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1" w:name="page132"/>
    <w:bookmarkEnd w:id="131"/>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Alam, M.D. (also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Elder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Blackburn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Winton,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De Rosch, Ph.D., FRAPS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Verwijs, Ph.D.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Boger,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Sylvie Gregoire, PharmD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Poulton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H. Hollingsworth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Zavrl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Marwan Sabbagh,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Quigley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Series B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Series C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D&amp;O Lock-up</w:t>
      </w:r>
    </w:p>
    <w:p>
      <w:pPr>
        <w:sectPr>
          <w:pgSz w:w="11900" w:h="16838" w:orient="portrait"/>
          <w:cols w:equalWidth="0" w:num="1">
            <w:col w:w="9019"/>
          </w:cols>
          <w:pgMar w:left="1440" w:top="333" w:right="1440" w:bottom="1440" w:gutter="0" w:footer="0" w:header="0"/>
        </w:sectPr>
      </w:pPr>
    </w:p>
    <w:bookmarkStart w:id="136" w:name="page137"/>
    <w:bookmarkEnd w:id="13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jc w:val="center"/>
        <w:ind w:left="340"/>
        <w:spacing w:after="0" w:line="262" w:lineRule="auto"/>
        <w:rPr>
          <w:sz w:val="20"/>
          <w:szCs w:val="20"/>
          <w:color w:val="auto"/>
        </w:rPr>
      </w:pPr>
      <w:r>
        <w:rPr>
          <w:rFonts w:ascii="Times New Roman" w:cs="Times New Roman" w:eastAsia="Times New Roman" w:hAnsi="Times New Roman"/>
          <w:sz w:val="22"/>
          <w:szCs w:val="22"/>
          <w:b w:val="1"/>
          <w:bCs w:val="1"/>
          <w:color w:val="auto"/>
        </w:rPr>
        <w:t>CervoMed Announces Private Placement Financing and Plan to Focus on Strategic Partnering to Advance Neflamapimod into Phase 3 for Dementia with Lewy Bodies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Additional funding will extend anticipated runway into second quarter of 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Strategic priority is to establish a partnership to advance neflamapimod into Phase 3 in dementia with Lewy bodies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Anticipated pipeline milestones over next six months include obtaining 24-week biomarker and clinical data from Phase 2a trial evaluating neflamapimod in nonfluent variant primary progressive aphasia and initiation of EXPERTS-ALS Phase 2a trial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Financing includes substantial participation from insiders and leading institutional healthcare investors</w:t>
      </w:r>
    </w:p>
    <w:p>
      <w:pPr>
        <w:spacing w:after="0" w:line="22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June 10, 2026 </w:t>
      </w:r>
      <w:r>
        <w:rPr>
          <w:rFonts w:ascii="Times New Roman" w:cs="Times New Roman" w:eastAsia="Times New Roman" w:hAnsi="Times New Roman"/>
          <w:sz w:val="18"/>
          <w:szCs w:val="18"/>
          <w:color w:val="auto"/>
        </w:rPr>
        <w:t>— CervoMed Inc. (NASDAQ: CRVO), a clinical-stage biotechnology company developing treatments for age-related brain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disorders (CervoMed or the Company), today announced that it has entered into a definitive securities purchase agreement for a private placement, from which the Company anticipates upfront gross proceeds of approximately $10.5 million, before deducting offering-related fees and expenses.</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private placement financing was led by leading institutional healthcare investors, and was supported by insiders, including Joshua S. Boger, PhD, founder of Vertex Pharmaceuticals and chair of CervoMed’s board of directors, and trusts related to John J. Alam, MD, CervoMed’s president and chief executive officer, and Sylvie Grégoire, PharmD, a member of CervoMed’s board of directors. The net proceeds from the financing will extend the Company’s anticipated cash runway into the second quarter of 2027 and will support the pursuit of a strategic partnership to advance neflamapimod into Phase 3 development for the treatment of dementia with Lewy bodies (DLB).</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 John Alam stated: “We are extremely pleased with the momentum we have achieved in progressing neflamapimod in DLB over the past 6 months, which includes the presentation of the full clinical data from the Phase 2b RewinD-LB trial at major scientific conferences and alignment with the FDA and global regulators on a potential registration path in DLB. We believe this substantial progress, our differentiated scientific approach, and the commercial opportunity presented by the unmet medical need in DLB create a compelling opportunity for a strategic partner, and that such a partnership could provide the opportunity to generate significant value for our stockholders. In parallel with our increased focus on strategic partnering, the financing announced today provides the necessary capital to advance neflamapimod through key near-term clinical milestones in our other pipeline indications, including nonfluent variant PPA and ALS programs.”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Dr. Joshua S. Boger added: “DLB is the second most common type of progressive dementia after Alzheimer’s disease (AD) and represents a significantly underserved population where there is a substantial unfulfilled need for effective new treatments that have the ability to target the underlying cause of the disease. Neflamapimod has shown compelling Phase 2a and 2b clinical data from both an efficacy and safety perspective to date, and we believe it has significant potential to improve outcomes for patients. We are honored to have such strong support from the scientific, medical, and financial communities as we work to bring neflamapimod to those with and affected by DLB, and the physicians treating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t>Today, the Company also provided an update on its strategic plan and priorities to advance neflamapimod in DLB and multiple rare neurological disorders.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Pipeline Priorities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strategic partnership to advance Phase 3-ready neflamapimod program in DLB</w:t>
      </w:r>
    </w:p>
    <w:p>
      <w:pPr>
        <w:spacing w:after="0" w:line="229" w:lineRule="exact"/>
        <w:rPr>
          <w:sz w:val="20"/>
          <w:szCs w:val="20"/>
          <w:color w:val="auto"/>
        </w:rPr>
      </w:pPr>
    </w:p>
    <w:p>
      <w:pPr>
        <w:ind w:left="380" w:right="120" w:hanging="318"/>
        <w:spacing w:after="0" w:line="266"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US Food and Drug Administration (FDA) on potential registration path for neflamapimod in DLB announced in November 2025, supported by data from two Phase 2 trials. Alignment with the Medicines Healthcare products Regulatory Agency in the United Kingdom (UK) and the European Medicines Agency on potential registration path for neflamapimod in DLB obtained in January 2026.</w:t>
      </w:r>
    </w:p>
    <w:p>
      <w:pPr>
        <w:spacing w:after="0" w:line="175"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DLB patients without AD co-pathology represents a differentiated, scientifically validated approach in a multi-billion dollar market with no approved therapies.</w:t>
      </w:r>
    </w:p>
    <w:p>
      <w:pPr>
        <w:spacing w:after="0" w:line="161" w:lineRule="exact"/>
        <w:rPr>
          <w:rFonts w:ascii="Times New Roman" w:cs="Times New Roman" w:eastAsia="Times New Roman" w:hAnsi="Times New Roman"/>
          <w:sz w:val="18"/>
          <w:szCs w:val="18"/>
          <w:color w:val="auto"/>
        </w:rPr>
      </w:pPr>
    </w:p>
    <w:p>
      <w:pPr>
        <w:ind w:left="380" w:right="40" w:hanging="318"/>
        <w:spacing w:after="0" w:line="282"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manufacturing process and stable crystal form of neflamapimod announced in March 2026 mitigate past cross-batch variability issues and increase certainty of achieving target plasma drug concentrations in future studies.</w:t>
      </w:r>
    </w:p>
    <w:p>
      <w:pPr>
        <w:spacing w:after="0" w:line="161" w:lineRule="exact"/>
        <w:rPr>
          <w:rFonts w:ascii="Times New Roman" w:cs="Times New Roman" w:eastAsia="Times New Roman" w:hAnsi="Times New Roman"/>
          <w:sz w:val="18"/>
          <w:szCs w:val="18"/>
          <w:color w:val="auto"/>
        </w:rPr>
      </w:pPr>
    </w:p>
    <w:p>
      <w:pPr>
        <w:ind w:left="460" w:hanging="317"/>
        <w:spacing w:after="0"/>
        <w:tabs>
          <w:tab w:leader="none" w:pos="4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momentum with recent progress, including:</w:t>
      </w:r>
    </w:p>
    <w:p>
      <w:pPr>
        <w:spacing w:after="0" w:line="225" w:lineRule="exact"/>
        <w:rPr>
          <w:sz w:val="20"/>
          <w:szCs w:val="20"/>
          <w:color w:val="auto"/>
        </w:rPr>
      </w:pPr>
    </w:p>
    <w:p>
      <w:pPr>
        <w:ind w:left="980" w:right="180" w:hanging="324"/>
        <w:spacing w:after="0" w:line="282"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planned Phase 3 dosing regimen (50mg TID of stable crystal form), as well as manufacture and release of initial Phase 3 clinical drug batch.</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39-week chronic toxicity study in a non-rodent species that increases neflamapimod’s no adverse effect level threefold and widens the safety margin to ~30-fold above clinically active plasma drug exposures.</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peer-reviewed publication validates pharmacological approach of neflamapimod in DLB, blocking the neurotoxic effects of neuroinflammation, consistent with data presented by CervoMed at ADPD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neflamapimod through upcoming clinical milestones in multiple rare neurological diseases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Nonfluent Variant Primary Progressive Aphasia (nfvPPA)</w:t>
      </w:r>
    </w:p>
    <w:p>
      <w:pPr>
        <w:spacing w:after="0" w:line="225" w:lineRule="exact"/>
        <w:rPr>
          <w:sz w:val="20"/>
          <w:szCs w:val="20"/>
          <w:color w:val="auto"/>
        </w:rPr>
      </w:pPr>
    </w:p>
    <w:p>
      <w:pPr>
        <w:ind w:left="380" w:hanging="318"/>
        <w:spacing w:after="0"/>
        <w:tabs>
          <w:tab w:leader="none" w:pos="3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clinical trial designed to establish proof-of-principle of neflamapimod in nfvPPA fully enrolled ahead of schedule.</w:t>
      </w:r>
    </w:p>
    <w:p>
      <w:pPr>
        <w:spacing w:after="0" w:line="225" w:lineRule="exact"/>
        <w:rPr>
          <w:rFonts w:ascii="Times New Roman" w:cs="Times New Roman" w:eastAsia="Times New Roman" w:hAnsi="Times New Roman"/>
          <w:sz w:val="18"/>
          <w:szCs w:val="18"/>
          <w:color w:val="auto"/>
        </w:rPr>
      </w:pPr>
    </w:p>
    <w:p>
      <w:pPr>
        <w:ind w:left="380" w:right="200" w:hanging="318"/>
        <w:spacing w:after="0" w:line="282" w:lineRule="auto"/>
        <w:tabs>
          <w:tab w:leader="none" w:pos="3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near-term potential catalysts from ongoing Phase 2a trial anticipated, including interim biomarker data in early fourth quarter of 2026 and 24-week clinical data in the first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8" w:name="page139"/>
    <w:bookmarkEnd w:id="138"/>
    <w:p>
      <w:pPr>
        <w:ind w:left="380" w:right="40" w:hanging="318"/>
        <w:spacing w:after="0" w:line="282" w:lineRule="auto"/>
        <w:tabs>
          <w:tab w:leader="none" w:pos="3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peer-reviewed publication demonstrates the relevance of p38α in tauopathies, including evidence that neflamapimod reverses axonal transport deficits in mouse models of FTD-Tau.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Amyotrophic Lateral Sclerosis (ALS)</w:t>
      </w:r>
    </w:p>
    <w:p>
      <w:pPr>
        <w:spacing w:after="0" w:line="225" w:lineRule="exact"/>
        <w:rPr>
          <w:sz w:val="20"/>
          <w:szCs w:val="20"/>
          <w:color w:val="auto"/>
        </w:rPr>
      </w:pPr>
    </w:p>
    <w:p>
      <w:pPr>
        <w:ind w:left="380" w:right="420" w:hanging="318"/>
        <w:spacing w:after="0" w:line="282" w:lineRule="auto"/>
        <w:tabs>
          <w:tab w:leader="none" w:pos="3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initiation of Phase 2a clinical trial of neflamapimod in ALS through the funded EXPERTS-ALS platform provides a capital-efficient opportunity to further expand into rare neurological disease space.</w:t>
      </w:r>
    </w:p>
    <w:p>
      <w:pPr>
        <w:spacing w:after="0" w:line="16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Neflamapimod 50mg TID dose recently selected for EXPERTS-ALS Phase 2a clinical trial.</w:t>
      </w:r>
    </w:p>
    <w:p>
      <w:pPr>
        <w:spacing w:after="0" w:line="22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for submission to regulatory authorities in the UK, with first patient dosed anticipated in the fourth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Financing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private placement, the Company will sell an aggregate of 3,360,377 units (the Units), each Unit comprised of (i) (A) one share of its common stock or (B) one pre-funded warrant to purchase shares of its common stock, (ii) one Series B warrant to purchase shares of its common stock or pre-funded warrants to purchase shares of its common stock, and (iii) one Series C warrant to purchase shares of its common stock or pre-funded warrants to purchase shares of its common stock. A Unit comprised of one share of common stock, one Series B warrant, and one Series C warrant shall have a purchase price of $3.14. A Unit comprised of one pre-funded warrant, one Series B warrant, and one Series C warrant shall have a purchase price of $3.139.</w:t>
      </w:r>
    </w:p>
    <w:p>
      <w:pPr>
        <w:spacing w:after="0" w:line="183"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The Series B warrants have an exercise price of $3.32 per share (or $3.319 per pre-funded warrant), will be immediately exercisable, and will expire on June 11, 2031. The Series C warrants have an exercise price of $3.14 per share (or $3.139 per pre-funded warrant), will be immediately exercisable, and will expire on June 11, 2027. The pre-funded warrants have an exercise price of $0.001 per share, will be immediately exercisable, and will not expire.</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anticipates gross proceeds from the private placement will be approximately $10.5 million, before deducting any offering-related fees and expenses, and up to an additional approximately $21.7 million in gross proceeds if the Series B warrants and Series C warrants are fully exercised for cash. The private placement is expected to close on or about June 11, 2026, subject to customary closing conditions.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the private placement to fund research and development of its clinical-stage product candidate, neflamapimod, working capital and general corporate purposes. Based on the Company’s current operating plan, the proceeds from this financing (together with the Company’s existing cash and cash equivalents but excluding any additional proceeds that may be received upon the exercise of Series B warrants or Series C warrants), are expected to fund operations into the second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spacing w:after="0" w:line="254" w:lineRule="auto"/>
        <w:rPr>
          <w:sz w:val="20"/>
          <w:szCs w:val="20"/>
          <w:color w:val="auto"/>
        </w:rPr>
      </w:pPr>
      <w:r>
        <w:rPr>
          <w:rFonts w:ascii="Times New Roman" w:cs="Times New Roman" w:eastAsia="Times New Roman" w:hAnsi="Times New Roman"/>
          <w:sz w:val="18"/>
          <w:szCs w:val="18"/>
          <w:color w:val="auto"/>
        </w:rPr>
        <w:t>The offer and sale of the foregoing securities are being made in a transaction not involving a public offering and the securities to be sold in the private placement have not been registered under the Securities Act of 1933, as amended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 Pursuant to the securities purchase agreement, the Company has agreed to file a registration statement with the US Securities and Exchange Commission (SEC) registering the resale of the shares of common stock issued in the private placement and the shares of common stock issuable upon the exercise of the pre-funded warrants, the Series B warrants (including upon exercise of any pre-funded warrants issued upon exercise of the Series B warrants), and the Series C warrants (including upon exercise of any pre-funded warrants issued upon exercise of the Series C warrants) issued in the private placement no later than the 45th day after the closing of the private placement.</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offer, solicitation or sale of these securities in any jurisdiction in which such offer, solicitation or sale would be unlawful. Any offering of the securities under the resale registration statement will only be made by means of a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Neflamapimod</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Neflamapimod is an investigational, orally administered small-molecule drug that readily crosses the blood-brain barrier and selectively inhibits the alpha isoform of p38 MAP kinase,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nfvPPA, and recovery after ischemic stroke, and CervoMed expects the first patient to be dosed with neflamapimod in the EXPERTS-ALS Phase 2a clinical trial in the fourth quarter of 2026.</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non-clinical studies, neflamapimod restored synaptic function within the basal forebrain cholinergic system, the brain region most affected in DLB. Across Phase 1 and 2 clinical trials involving more than 800 participants, the drug has been generally well tolerated and demonstrated consistent signals of efficacy. In the 91-patient Phase 2a AscenD-LB trial, neflamapimod significantly improved dementia severity and functional mobility in patients with DLB. Results from the 159-patient Phase 2b RewinD-LB trial, a 16-week randomized, double-blind, placebo-controlled trial followed by a 32-week open-label extension, further supported neflamapimod’s potential to deliver meaningful clinical benefit, improving both cognitive and functional outcomes and showing a positive effect on a key blood biomarker of neurodegeneration during the extension phase. Across both studies, the greatest benefits were observed in patients without AD co-pathology. Collectively, these findings underscore the therapeutic promise and scientific validity of neflamapimod as a potential treatment for DLB and other degenerative brain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About CervoMed</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and the Company announced alignment with the FDA on a potential registration path for neflamapimod in DLB in November 2025. Initiation of a Phase 3 trial in DLB is subject to the establishment of a partnership and/or additional financing. CervoMed also recently completed enrollment in its ongoing Phase 2a clinical trial evaluating neflamapimod in nfvPPA, a subtype of frontotemporal disorders, from which interim biomarker data is anticipated in the early fourth quarter of 2026, and expects the first patient to be dosed with neflamapimod in the EXPERTS-ALS Phase 2a clinical trial in the fourth quarter of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timing, size and expectation of the closing of the private placement; expectations regarding market conditions, the satisfaction of customary closing conditions related to the private placement and the anticipated use of proceeds therefrom; whether any pre-funded warrants, Series B warrants, or Series C warrants issued in the private placement will be exercised in full or at all; the Company’s anticipated cash runway; the Company’s need to acquire sufficient funding, including funding for any Phase 3 trial in patients with DLB; the Company’s plan to focus on strategic partnering to advance neflamapimod into Phase 3 for DLB; the therapeutic potential of neflamapimod in DLB, nfvPPA, ALS, or any other indication, including the degree of sustainability of any therapeutic effects; the anticipated timing and achievement of clinical and development milestones, including the Company’s initiation of any Phase 3 trial in patients with DLB; the anticipated data readouts from the Company’s Phase 2a trial in nfvPPA and the anticipated dosing of the first patient with neflamapimod in the EXPERTS-ALS trial; any other expected or implied benefits or results, including the extent (if any) to which neflamapimod may demonstrate efficacy or other clinical or biomarker improvements in patients; and expectations with respect to neflamapimod, including the timing of any regulatory submissions and potential approvals thereof, if any, in DLB or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satisfaction of the closing conditions to and consummation of the Company’s anticipated private placement;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Guiterman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Biongage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lisa.guiterman@gmail.com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202-330-3431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cervomed@argotpartners.com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sectPr>
      <w:pgSz w:w="11900" w:h="16838" w:orient="portrait"/>
      <w:cols w:equalWidth="0" w:num="1">
        <w:col w:w="10139"/>
      </w:cols>
      <w:pgMar w:left="32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1)"/>
      <w:numFmt w:val="lowerLetter"/>
      <w:start w:val="4"/>
    </w:lvl>
  </w:abstractNum>
  <w:abstractNum w:abstractNumId="2">
    <w:nsid w:val="613EFDC5"/>
    <w:multiLevelType w:val="hybridMultilevel"/>
    <w:lvl w:ilvl="0">
      <w:lvlJc w:val="left"/>
      <w:lvlText w:val="%1."/>
      <w:numFmt w:val="decimal"/>
      <w:start w:val="1"/>
    </w:lvl>
  </w:abstractNum>
  <w:abstractNum w:abstractNumId="3">
    <w:nsid w:val="BF72B14"/>
    <w:multiLevelType w:val="hybridMultilevel"/>
    <w:lvl w:ilvl="0">
      <w:lvlJc w:val="left"/>
      <w:lvlText w:val="%1."/>
      <w:numFmt w:val="decimal"/>
      <w:start w:val="2"/>
    </w:lvl>
    <w:lvl w:ilvl="1">
      <w:lvlJc w:val="left"/>
      <w:lvlText w:val="(%2)"/>
      <w:numFmt w:val="lowerLetter"/>
      <w:start w:val="1"/>
    </w:lvl>
  </w:abstractNum>
  <w:abstractNum w:abstractNumId="4">
    <w:nsid w:val="11447B7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5">
    <w:nsid w:val="42963E5A"/>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3"/>
    </w:lvl>
  </w:abstractNum>
  <w:abstractNum w:abstractNumId="6">
    <w:nsid w:val="A0382C5"/>
    <w:multiLevelType w:val="hybridMultilevel"/>
    <w:lvl w:ilvl="0">
      <w:lvlJc w:val="left"/>
      <w:lvlText w:val="%1."/>
      <w:numFmt w:val="decimal"/>
      <w:start w:val="6"/>
    </w:lvl>
  </w:abstractNum>
  <w:abstractNum w:abstractNumId="7">
    <w:nsid w:val="8F2B15E"/>
    <w:multiLevelType w:val="hybridMultilevel"/>
    <w:lvl w:ilvl="0">
      <w:lvlJc w:val="left"/>
      <w:lvlText w:val="%1."/>
      <w:numFmt w:val="decimal"/>
      <w:start w:val="9"/>
    </w:lvl>
    <w:lvl w:ilvl="1">
      <w:lvlJc w:val="left"/>
      <w:lvlText w:val="(%2)"/>
      <w:numFmt w:val="lowerLetter"/>
      <w:start w:val="1"/>
    </w:lvl>
  </w:abstractNum>
  <w:abstractNum w:abstractNumId="8">
    <w:nsid w:val="1A32234B"/>
    <w:multiLevelType w:val="hybridMultilevel"/>
    <w:lvl w:ilvl="0">
      <w:lvlJc w:val="left"/>
      <w:lvlText w:val="(%1)"/>
      <w:numFmt w:val="lowerLetter"/>
      <w:start w:val="3"/>
    </w:lvl>
  </w:abstractNum>
  <w:abstractNum w:abstractNumId="9">
    <w:nsid w:val="3B0FD379"/>
    <w:multiLevelType w:val="hybridMultilevel"/>
    <w:lvl w:ilvl="0">
      <w:lvlJc w:val="left"/>
      <w:lvlText w:val="(%1)"/>
      <w:numFmt w:val="lowerLetter"/>
      <w:start w:val="5"/>
    </w:lvl>
    <w:lvl w:ilvl="1">
      <w:lvlJc w:val="left"/>
      <w:lvlText w:val="(%2)"/>
      <w:numFmt w:val="lowerLetter"/>
      <w:start w:val="6"/>
    </w:lvl>
  </w:abstractNum>
  <w:abstractNum w:abstractNumId="10">
    <w:nsid w:val="68EB2F63"/>
    <w:multiLevelType w:val="hybridMultilevel"/>
    <w:lvl w:ilvl="0">
      <w:lvlJc w:val="left"/>
      <w:lvlText w:val="(%1)"/>
      <w:numFmt w:val="lowerLetter"/>
      <w:start w:val="7"/>
    </w:lvl>
    <w:lvl w:ilvl="1">
      <w:lvlJc w:val="left"/>
      <w:lvlText w:val="%2"/>
      <w:numFmt w:val="lowerLetter"/>
      <w:start w:val="1"/>
    </w:lvl>
  </w:abstractNum>
  <w:abstractNum w:abstractNumId="11">
    <w:nsid w:val="4962813B"/>
    <w:multiLevelType w:val="hybridMultilevel"/>
    <w:lvl w:ilvl="0">
      <w:lvlJc w:val="left"/>
      <w:lvlText w:val="%1."/>
      <w:numFmt w:val="decimal"/>
      <w:start w:val="10"/>
    </w:lvl>
  </w:abstractNum>
  <w:abstractNum w:abstractNumId="12">
    <w:nsid w:val="60B6DF70"/>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3">
    <w:nsid w:val="6A5EE6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4">
    <w:nsid w:val="14330624"/>
    <w:multiLevelType w:val="hybridMultilevel"/>
    <w:lvl w:ilvl="0">
      <w:lvlJc w:val="left"/>
      <w:lvlText w:val="%1"/>
      <w:numFmt w:val="decimal"/>
      <w:start w:val="1"/>
    </w:lvl>
    <w:lvl w:ilvl="1">
      <w:lvlJc w:val="left"/>
      <w:lvlText w:val="(%2)"/>
      <w:numFmt w:val="lowerLetter"/>
      <w:start w:val="2"/>
    </w:lvl>
  </w:abstractNum>
  <w:abstractNum w:abstractNumId="15">
    <w:nsid w:val="7FFFCA11"/>
    <w:multiLevelType w:val="hybridMultilevel"/>
    <w:lvl w:ilvl="0">
      <w:lvlJc w:val="left"/>
      <w:lvlText w:val="%1."/>
      <w:numFmt w:val="decimal"/>
      <w:start w:val="12"/>
    </w:lvl>
    <w:lvl w:ilvl="1">
      <w:lvlJc w:val="left"/>
      <w:lvlText w:val="%2"/>
      <w:numFmt w:val="lowerLetter"/>
      <w:start w:val="1"/>
    </w:lvl>
  </w:abstractNum>
  <w:abstractNum w:abstractNumId="16">
    <w:nsid w:val="1A27709E"/>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7">
    <w:nsid w:val="71EA1109"/>
    <w:multiLevelType w:val="hybridMultilevel"/>
    <w:lvl w:ilvl="0">
      <w:lvlJc w:val="left"/>
      <w:lvlText w:val="(%1)"/>
      <w:numFmt w:val="lowerLetter"/>
      <w:start w:val="5"/>
    </w:lvl>
  </w:abstractNum>
  <w:abstractNum w:abstractNumId="18">
    <w:nsid w:val="100F59DC"/>
    <w:multiLevelType w:val="hybridMultilevel"/>
    <w:lvl w:ilvl="0">
      <w:lvlJc w:val="left"/>
      <w:lvlText w:val="(%1)"/>
      <w:numFmt w:val="lowerLetter"/>
      <w:start w:val="6"/>
    </w:lvl>
    <w:lvl w:ilvl="1">
      <w:lvlJc w:val="left"/>
      <w:lvlText w:val="(%2)"/>
      <w:numFmt w:val="lowerLetter"/>
      <w:start w:val="8"/>
    </w:lvl>
  </w:abstractNum>
  <w:abstractNum w:abstractNumId="19">
    <w:nsid w:val="7FB7E0AA"/>
    <w:multiLevelType w:val="hybridMultilevel"/>
    <w:lvl w:ilvl="0">
      <w:lvlJc w:val="left"/>
      <w:lvlText w:val="(%1)"/>
      <w:numFmt w:val="decimal"/>
      <w:start w:val="1"/>
    </w:lvl>
    <w:lvl w:ilvl="1">
      <w:lvlJc w:val="left"/>
      <w:lvlText w:val="☐"/>
      <w:numFmt w:val="bullet"/>
      <w:start w:val="1"/>
    </w:lvl>
  </w:abstractNum>
  <w:abstractNum w:abstractNumId="20">
    <w:nsid w:val="6EB5B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1">
    <w:nsid w:val="6F6DD9AC"/>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22">
    <w:nsid w:val="94211F2"/>
    <w:multiLevelType w:val="hybridMultilevel"/>
    <w:lvl w:ilvl="0">
      <w:lvlJc w:val="left"/>
      <w:lvlText w:val="(%1)"/>
      <w:numFmt w:val="lowerLetter"/>
      <w:start w:val="2"/>
    </w:lvl>
  </w:abstractNum>
  <w:abstractNum w:abstractNumId="23">
    <w:nsid w:val="885E1B"/>
    <w:multiLevelType w:val="hybridMultilevel"/>
    <w:lvl w:ilvl="0">
      <w:lvlJc w:val="left"/>
      <w:lvlText w:val="%1"/>
      <w:numFmt w:val="upperLetter"/>
      <w:start w:val="1"/>
    </w:lvl>
    <w:lvl w:ilvl="1">
      <w:lvlJc w:val="left"/>
      <w:lvlText w:val="(%2)"/>
      <w:numFmt w:val="lowerLetter"/>
      <w:start w:val="4"/>
    </w:lvl>
  </w:abstractNum>
  <w:abstractNum w:abstractNumId="24">
    <w:nsid w:val="76272110"/>
    <w:multiLevelType w:val="hybridMultilevel"/>
    <w:lvl w:ilvl="0">
      <w:lvlJc w:val="left"/>
      <w:lvlText w:val="(%1)"/>
      <w:numFmt w:val="upperLetter"/>
      <w:start w:val="9"/>
    </w:lvl>
    <w:lvl w:ilvl="1">
      <w:lvlJc w:val="left"/>
      <w:lvlText w:val="%2"/>
      <w:numFmt w:val="lowerLetter"/>
      <w:start w:val="1"/>
    </w:lvl>
  </w:abstractNum>
  <w:abstractNum w:abstractNumId="25">
    <w:nsid w:val="4C04A8AF"/>
    <w:multiLevelType w:val="hybridMultilevel"/>
    <w:lvl w:ilvl="0">
      <w:lvlJc w:val="left"/>
      <w:lvlText w:val="(%1)"/>
      <w:numFmt w:val="lowerLetter"/>
      <w:start w:val="5"/>
    </w:lvl>
    <w:lvl w:ilvl="1">
      <w:lvlJc w:val="left"/>
      <w:lvlText w:val="(%2)"/>
      <w:numFmt w:val="decimal"/>
      <w:start w:val="1"/>
    </w:lvl>
  </w:abstractNum>
  <w:abstractNum w:abstractNumId="26">
    <w:nsid w:val="1716703B"/>
    <w:multiLevelType w:val="hybridMultilevel"/>
    <w:lvl w:ilvl="0">
      <w:lvlJc w:val="left"/>
      <w:lvlText w:val="(%1)"/>
      <w:numFmt w:val="decimal"/>
      <w:start w:val="2"/>
    </w:lvl>
  </w:abstractNum>
  <w:abstractNum w:abstractNumId="27">
    <w:nsid w:val="14E17E33"/>
    <w:multiLevelType w:val="hybridMultilevel"/>
    <w:lvl w:ilvl="0">
      <w:lvlJc w:val="left"/>
      <w:lvlText w:val="%1"/>
      <w:numFmt w:val="lowerLetter"/>
      <w:start w:val="1"/>
    </w:lvl>
    <w:lvl w:ilvl="1">
      <w:lvlJc w:val="left"/>
      <w:lvlText w:val="(%2)"/>
      <w:numFmt w:val="decimal"/>
      <w:start w:val="4"/>
    </w:lvl>
  </w:abstractNum>
  <w:abstractNum w:abstractNumId="28">
    <w:nsid w:val="3222E7CD"/>
    <w:multiLevelType w:val="hybridMultilevel"/>
    <w:lvl w:ilvl="0">
      <w:lvlJc w:val="left"/>
      <w:lvlText w:val="(%1)"/>
      <w:numFmt w:val="lowerLetter"/>
      <w:start w:val="7"/>
    </w:lvl>
    <w:lvl w:ilvl="1">
      <w:lvlJc w:val="left"/>
      <w:lvlText w:val="%2"/>
      <w:numFmt w:val="decimal"/>
      <w:start w:val="1"/>
    </w:lvl>
  </w:abstractNum>
  <w:abstractNum w:abstractNumId="29">
    <w:nsid w:val="74DE0EE3"/>
    <w:multiLevelType w:val="hybridMultilevel"/>
    <w:lvl w:ilvl="0">
      <w:lvlJc w:val="left"/>
      <w:lvlText w:val="%1"/>
      <w:numFmt w:val="decimal"/>
      <w:start w:val="1"/>
    </w:lvl>
    <w:lvl w:ilvl="1">
      <w:lvlJc w:val="left"/>
      <w:lvlText w:val="(%2)"/>
      <w:numFmt w:val="lowerLetter"/>
      <w:start w:val="8"/>
    </w:lvl>
  </w:abstractNum>
  <w:abstractNum w:abstractNumId="30">
    <w:nsid w:val="68EBC550"/>
    <w:multiLevelType w:val="hybridMultilevel"/>
    <w:lvl w:ilvl="0">
      <w:lvlJc w:val="left"/>
      <w:lvlText w:val="%1."/>
      <w:numFmt w:val="decimal"/>
      <w:start w:val="2"/>
    </w:lvl>
    <w:lvl w:ilvl="1">
      <w:lvlJc w:val="left"/>
      <w:lvlText w:val="(%2)"/>
      <w:numFmt w:val="lowerLetter"/>
      <w:start w:val="1"/>
    </w:lvl>
  </w:abstractNum>
  <w:abstractNum w:abstractNumId="31">
    <w:nsid w:val="2DF6D648"/>
    <w:multiLevelType w:val="hybridMultilevel"/>
    <w:lvl w:ilvl="0">
      <w:lvlJc w:val="left"/>
      <w:lvlText w:val="%1"/>
      <w:numFmt w:val="decimal"/>
      <w:start w:val="1"/>
    </w:lvl>
    <w:lvl w:ilvl="1">
      <w:lvlJc w:val="left"/>
      <w:lvlText w:val="(%2)"/>
      <w:numFmt w:val="lowerLetter"/>
      <w:start w:val="3"/>
    </w:lvl>
  </w:abstractNum>
  <w:abstractNum w:abstractNumId="32">
    <w:nsid w:val="46B7D447"/>
    <w:multiLevelType w:val="hybridMultilevel"/>
    <w:lvl w:ilvl="0">
      <w:lvlJc w:val="left"/>
      <w:lvlText w:val="%1."/>
      <w:numFmt w:val="decimal"/>
      <w:start w:val="3"/>
    </w:lvl>
    <w:lvl w:ilvl="1">
      <w:lvlJc w:val="left"/>
      <w:lvlText w:val="(%2)"/>
      <w:numFmt w:val="lowerLetter"/>
      <w:start w:val="1"/>
    </w:lvl>
  </w:abstractNum>
  <w:abstractNum w:abstractNumId="33">
    <w:nsid w:val="4A2AC315"/>
    <w:multiLevelType w:val="hybridMultilevel"/>
    <w:lvl w:ilvl="0">
      <w:lvlJc w:val="left"/>
      <w:lvlText w:val="(%1)"/>
      <w:numFmt w:val="lowerLetter"/>
      <w:start w:val="2"/>
    </w:lvl>
  </w:abstractNum>
  <w:abstractNum w:abstractNumId="34">
    <w:nsid w:val="39EE015C"/>
    <w:multiLevelType w:val="hybridMultilevel"/>
    <w:lvl w:ilvl="0">
      <w:lvlJc w:val="left"/>
      <w:lvlText w:val="%1."/>
      <w:numFmt w:val="decimal"/>
      <w:start w:val="5"/>
    </w:lvl>
    <w:lvl w:ilvl="1">
      <w:lvlJc w:val="left"/>
      <w:lvlText w:val="(%2)"/>
      <w:numFmt w:val="lowerLetter"/>
      <w:start w:val="1"/>
    </w:lvl>
  </w:abstractNum>
  <w:abstractNum w:abstractNumId="35">
    <w:nsid w:val="57FC4F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36">
    <w:nsid w:val="CC1016F"/>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1"/>
    </w:lvl>
    <w:lvl w:ilvl="3">
      <w:lvlJc w:val="left"/>
      <w:lvlText w:val="(%4)"/>
      <w:numFmt w:val="lowerLetter"/>
      <w:start w:val="9"/>
    </w:lvl>
  </w:abstractNum>
  <w:abstractNum w:abstractNumId="37">
    <w:nsid w:val="43F18422"/>
    <w:multiLevelType w:val="hybridMultilevel"/>
    <w:lvl w:ilvl="0">
      <w:lvlJc w:val="left"/>
      <w:lvlText w:val="(%1)"/>
      <w:numFmt w:val="lowerRoman"/>
      <w:start w:val="2"/>
    </w:lvl>
  </w:abstractNum>
  <w:abstractNum w:abstractNumId="38">
    <w:nsid w:val="60EF0119"/>
    <w:multiLevelType w:val="hybridMultilevel"/>
    <w:lvl w:ilvl="0">
      <w:lvlJc w:val="left"/>
      <w:lvlText w:val="%1."/>
      <w:numFmt w:val="decimal"/>
      <w:start w:val="9"/>
    </w:lvl>
  </w:abstractNum>
  <w:abstractNum w:abstractNumId="39">
    <w:nsid w:val="26F324BA"/>
    <w:multiLevelType w:val="hybridMultilevel"/>
    <w:lvl w:ilvl="0">
      <w:lvlJc w:val="left"/>
      <w:lvlText w:val="%1."/>
      <w:numFmt w:val="decimal"/>
      <w:start w:val="11"/>
    </w:lvl>
  </w:abstractNum>
  <w:abstractNum w:abstractNumId="40">
    <w:nsid w:val="7F01579B"/>
    <w:multiLevelType w:val="hybridMultilevel"/>
    <w:lvl w:ilvl="0">
      <w:lvlJc w:val="left"/>
      <w:lvlText w:val="%1."/>
      <w:numFmt w:val="decimal"/>
      <w:start w:val="14"/>
    </w:lvl>
    <w:lvl w:ilvl="1">
      <w:lvlJc w:val="left"/>
      <w:lvlText w:val="(%2)"/>
      <w:numFmt w:val="lowerLetter"/>
      <w:start w:val="1"/>
    </w:lvl>
  </w:abstractNum>
  <w:abstractNum w:abstractNumId="41">
    <w:nsid w:val="49DA307D"/>
    <w:multiLevelType w:val="hybridMultilevel"/>
    <w:lvl w:ilvl="0">
      <w:lvlJc w:val="left"/>
      <w:lvlText w:val="(%1)"/>
      <w:numFmt w:val="lowerLetter"/>
      <w:start w:val="4"/>
    </w:lvl>
  </w:abstractNum>
  <w:abstractNum w:abstractNumId="42">
    <w:nsid w:val="7055A5F5"/>
    <w:multiLevelType w:val="hybridMultilevel"/>
    <w:lvl w:ilvl="0">
      <w:lvlJc w:val="left"/>
      <w:lvlText w:val="(%1)"/>
      <w:numFmt w:val="lowerLetter"/>
      <w:start w:val="8"/>
    </w:lvl>
  </w:abstractNum>
  <w:abstractNum w:abstractNumId="43">
    <w:nsid w:val="5FB8370B"/>
    <w:multiLevelType w:val="hybridMultilevel"/>
    <w:lvl w:ilvl="0">
      <w:lvlJc w:val="left"/>
      <w:lvlText w:val="(%1)"/>
      <w:numFmt w:val="lowerLetter"/>
      <w:start w:val="12"/>
    </w:lvl>
  </w:abstractNum>
  <w:abstractNum w:abstractNumId="44">
    <w:nsid w:val="50801EE1"/>
    <w:multiLevelType w:val="hybridMultilevel"/>
    <w:lvl w:ilvl="0">
      <w:lvlJc w:val="left"/>
      <w:lvlText w:val="(%1)"/>
      <w:numFmt w:val="lowerLetter"/>
      <w:start w:val="21"/>
    </w:lvl>
  </w:abstractNum>
  <w:abstractNum w:abstractNumId="45">
    <w:nsid w:val="488AC1A"/>
    <w:multiLevelType w:val="hybridMultilevel"/>
    <w:lvl w:ilvl="0">
      <w:lvlJc w:val="left"/>
      <w:lvlText w:val="%1."/>
      <w:numFmt w:val="decimal"/>
      <w:start w:val="1"/>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1."/>
      <w:numFmt w:val="decimal"/>
      <w:start w:val="2"/>
    </w:lvl>
    <w:lvl w:ilvl="1">
      <w:lvlJc w:val="left"/>
      <w:lvlText w:val="(%2)"/>
      <w:numFmt w:val="lowerLetter"/>
      <w:start w:val="1"/>
    </w:lvl>
  </w:abstractNum>
  <w:abstractNum w:abstractNumId="48">
    <w:nsid w:val="7672BD2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9">
    <w:nsid w:val="6FC75AF8"/>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50">
    <w:nsid w:val="6A5F7029"/>
    <w:multiLevelType w:val="hybridMultilevel"/>
    <w:lvl w:ilvl="0">
      <w:lvlJc w:val="left"/>
      <w:lvlText w:val="%1"/>
      <w:numFmt w:val="decimal"/>
      <w:start w:val="1"/>
    </w:lvl>
    <w:lvl w:ilvl="1">
      <w:lvlJc w:val="left"/>
      <w:lvlText w:val="(%2)"/>
      <w:numFmt w:val="lowerLetter"/>
      <w:start w:val="3"/>
    </w:lvl>
  </w:abstractNum>
  <w:abstractNum w:abstractNumId="51">
    <w:nsid w:val="7D5E18F8"/>
    <w:multiLevelType w:val="hybridMultilevel"/>
    <w:lvl w:ilvl="0">
      <w:lvlJc w:val="left"/>
      <w:lvlText w:val="%1."/>
      <w:numFmt w:val="decimal"/>
      <w:start w:val="6"/>
    </w:lvl>
    <w:lvl w:ilvl="1">
      <w:lvlJc w:val="left"/>
      <w:lvlText w:val="%2"/>
      <w:numFmt w:val="lowerLetter"/>
      <w:start w:val="1"/>
    </w:lvl>
  </w:abstractNum>
  <w:abstractNum w:abstractNumId="52">
    <w:nsid w:val="5F3534A4"/>
    <w:multiLevelType w:val="hybridMultilevel"/>
    <w:lvl w:ilvl="0">
      <w:lvlJc w:val="left"/>
      <w:lvlText w:val="%1."/>
      <w:numFmt w:val="decimal"/>
      <w:start w:val="9"/>
    </w:lvl>
    <w:lvl w:ilvl="1">
      <w:lvlJc w:val="left"/>
      <w:lvlText w:val="(%2)"/>
      <w:numFmt w:val="lowerLetter"/>
      <w:start w:val="1"/>
    </w:lvl>
  </w:abstractNum>
  <w:abstractNum w:abstractNumId="53">
    <w:nsid w:val="73A1821B"/>
    <w:multiLevelType w:val="hybridMultilevel"/>
    <w:lvl w:ilvl="0">
      <w:lvlJc w:val="left"/>
      <w:lvlText w:val="(%1)"/>
      <w:numFmt w:val="lowerLetter"/>
      <w:start w:val="3"/>
    </w:lvl>
  </w:abstractNum>
  <w:abstractNum w:abstractNumId="54">
    <w:nsid w:val="7DE67713"/>
    <w:multiLevelType w:val="hybridMultilevel"/>
    <w:lvl w:ilvl="0">
      <w:lvlJc w:val="left"/>
      <w:lvlText w:val="(%1)"/>
      <w:numFmt w:val="lowerLetter"/>
      <w:start w:val="5"/>
    </w:lvl>
  </w:abstractNum>
  <w:abstractNum w:abstractNumId="55">
    <w:nsid w:val="555C55B5"/>
    <w:multiLevelType w:val="hybridMultilevel"/>
    <w:lvl w:ilvl="0">
      <w:lvlJc w:val="left"/>
      <w:lvlText w:val="%1."/>
      <w:numFmt w:val="decimal"/>
      <w:start w:val="10"/>
    </w:lvl>
  </w:abstractNum>
  <w:abstractNum w:abstractNumId="56">
    <w:nsid w:val="3FA62ACA"/>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57">
    <w:nsid w:val="14FCE74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8">
    <w:nsid w:val="6A3DD3E8"/>
    <w:multiLevelType w:val="hybridMultilevel"/>
    <w:lvl w:ilvl="0">
      <w:lvlJc w:val="left"/>
      <w:lvlText w:val="%1"/>
      <w:numFmt w:val="decimal"/>
      <w:start w:val="1"/>
    </w:lvl>
    <w:lvl w:ilvl="1">
      <w:lvlJc w:val="left"/>
      <w:lvlText w:val="(%2)"/>
      <w:numFmt w:val="lowerLetter"/>
      <w:start w:val="2"/>
    </w:lvl>
  </w:abstractNum>
  <w:abstractNum w:abstractNumId="59">
    <w:nsid w:val="71C91298"/>
    <w:multiLevelType w:val="hybridMultilevel"/>
    <w:lvl w:ilvl="0">
      <w:lvlJc w:val="left"/>
      <w:lvlText w:val="%1."/>
      <w:numFmt w:val="decimal"/>
      <w:start w:val="12"/>
    </w:lvl>
    <w:lvl w:ilvl="1">
      <w:lvlJc w:val="left"/>
      <w:lvlText w:val="%2"/>
      <w:numFmt w:val="lowerLetter"/>
      <w:start w:val="1"/>
    </w:lvl>
  </w:abstractNum>
  <w:abstractNum w:abstractNumId="60">
    <w:nsid w:val="9DAF632"/>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1">
    <w:nsid w:val="53299938"/>
    <w:multiLevelType w:val="hybridMultilevel"/>
    <w:lvl w:ilvl="0">
      <w:lvlJc w:val="left"/>
      <w:lvlText w:val="(%1)"/>
      <w:numFmt w:val="lowerLetter"/>
      <w:start w:val="4"/>
    </w:lvl>
  </w:abstractNum>
  <w:abstractNum w:abstractNumId="62">
    <w:nsid w:val="1FBFE8E0"/>
    <w:multiLevelType w:val="hybridMultilevel"/>
    <w:lvl w:ilvl="0">
      <w:lvlJc w:val="left"/>
      <w:lvlText w:val="(%1)"/>
      <w:numFmt w:val="decimal"/>
      <w:start w:val="1"/>
    </w:lvl>
    <w:lvl w:ilvl="1">
      <w:lvlJc w:val="left"/>
      <w:lvlText w:val="☐"/>
      <w:numFmt w:val="bullet"/>
      <w:start w:val="1"/>
    </w:lvl>
  </w:abstractNum>
  <w:abstractNum w:abstractNumId="63">
    <w:nsid w:val="5092CA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4">
    <w:nsid w:val="1D545C4D"/>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65">
    <w:nsid w:val="59ADEA3D"/>
    <w:multiLevelType w:val="hybridMultilevel"/>
    <w:lvl w:ilvl="0">
      <w:lvlJc w:val="left"/>
      <w:lvlText w:val="(%1)"/>
      <w:numFmt w:val="lowerLetter"/>
      <w:start w:val="2"/>
    </w:lvl>
  </w:abstractNum>
  <w:abstractNum w:abstractNumId="66">
    <w:nsid w:val="288F1A34"/>
    <w:multiLevelType w:val="hybridMultilevel"/>
    <w:lvl w:ilvl="0">
      <w:lvlJc w:val="left"/>
      <w:lvlText w:val="%1"/>
      <w:numFmt w:val="upperLetter"/>
      <w:start w:val="1"/>
    </w:lvl>
    <w:lvl w:ilvl="1">
      <w:lvlJc w:val="left"/>
      <w:lvlText w:val="(%2)"/>
      <w:numFmt w:val="lowerLetter"/>
      <w:start w:val="4"/>
    </w:lvl>
  </w:abstractNum>
  <w:abstractNum w:abstractNumId="67">
    <w:nsid w:val="2A155DBC"/>
    <w:multiLevelType w:val="hybridMultilevel"/>
    <w:lvl w:ilvl="0">
      <w:lvlJc w:val="left"/>
      <w:lvlText w:val="(%1)"/>
      <w:numFmt w:val="upperLetter"/>
      <w:start w:val="9"/>
    </w:lvl>
    <w:lvl w:ilvl="1">
      <w:lvlJc w:val="left"/>
      <w:lvlText w:val="%2"/>
      <w:numFmt w:val="lowerLetter"/>
      <w:start w:val="1"/>
    </w:lvl>
  </w:abstractNum>
  <w:abstractNum w:abstractNumId="68">
    <w:nsid w:val="1D9F6E5F"/>
    <w:multiLevelType w:val="hybridMultilevel"/>
    <w:lvl w:ilvl="0">
      <w:lvlJc w:val="left"/>
      <w:lvlText w:val="(%1)"/>
      <w:numFmt w:val="lowerLetter"/>
      <w:start w:val="5"/>
    </w:lvl>
    <w:lvl w:ilvl="1">
      <w:lvlJc w:val="left"/>
      <w:lvlText w:val="(%2)"/>
      <w:numFmt w:val="decimal"/>
      <w:start w:val="1"/>
    </w:lvl>
  </w:abstractNum>
  <w:abstractNum w:abstractNumId="69">
    <w:nsid w:val="97E1B4E"/>
    <w:multiLevelType w:val="hybridMultilevel"/>
    <w:lvl w:ilvl="0">
      <w:lvlJc w:val="left"/>
      <w:lvlText w:val="(%1)"/>
      <w:numFmt w:val="decimal"/>
      <w:start w:val="2"/>
    </w:lvl>
  </w:abstractNum>
  <w:abstractNum w:abstractNumId="70">
    <w:nsid w:val="51088277"/>
    <w:multiLevelType w:val="hybridMultilevel"/>
    <w:lvl w:ilvl="0">
      <w:lvlJc w:val="left"/>
      <w:lvlText w:val="%1"/>
      <w:numFmt w:val="lowerLetter"/>
      <w:start w:val="1"/>
    </w:lvl>
    <w:lvl w:ilvl="1">
      <w:lvlJc w:val="left"/>
      <w:lvlText w:val="(%2)"/>
      <w:numFmt w:val="decimal"/>
      <w:start w:val="4"/>
    </w:lvl>
  </w:abstractNum>
  <w:abstractNum w:abstractNumId="71">
    <w:nsid w:val="1CA0C5FA"/>
    <w:multiLevelType w:val="hybridMultilevel"/>
    <w:lvl w:ilvl="0">
      <w:lvlJc w:val="left"/>
      <w:lvlText w:val="(%1)"/>
      <w:numFmt w:val="lowerLetter"/>
      <w:start w:val="7"/>
    </w:lvl>
    <w:lvl w:ilvl="1">
      <w:lvlJc w:val="left"/>
      <w:lvlText w:val="%2"/>
      <w:numFmt w:val="decimal"/>
      <w:start w:val="1"/>
    </w:lvl>
  </w:abstractNum>
  <w:abstractNum w:abstractNumId="72">
    <w:nsid w:val="53584BCB"/>
    <w:multiLevelType w:val="hybridMultilevel"/>
    <w:lvl w:ilvl="0">
      <w:lvlJc w:val="left"/>
      <w:lvlText w:val="%1"/>
      <w:numFmt w:val="decimal"/>
      <w:start w:val="1"/>
    </w:lvl>
    <w:lvl w:ilvl="1">
      <w:lvlJc w:val="left"/>
      <w:lvlText w:val="(%2)"/>
      <w:numFmt w:val="lowerLetter"/>
      <w:start w:val="8"/>
    </w:lvl>
  </w:abstractNum>
  <w:abstractNum w:abstractNumId="73">
    <w:nsid w:val="415E286C"/>
    <w:multiLevelType w:val="hybridMultilevel"/>
    <w:lvl w:ilvl="0">
      <w:lvlJc w:val="left"/>
      <w:lvlText w:val="%1."/>
      <w:numFmt w:val="decimal"/>
      <w:start w:val="2"/>
    </w:lvl>
    <w:lvl w:ilvl="1">
      <w:lvlJc w:val="left"/>
      <w:lvlText w:val="(%2)"/>
      <w:numFmt w:val="lowerLetter"/>
      <w:start w:val="1"/>
    </w:lvl>
  </w:abstractNum>
  <w:abstractNum w:abstractNumId="74">
    <w:nsid w:val="7C58FD05"/>
    <w:multiLevelType w:val="hybridMultilevel"/>
    <w:lvl w:ilvl="0">
      <w:lvlJc w:val="left"/>
      <w:lvlText w:val="%1"/>
      <w:numFmt w:val="decimal"/>
      <w:start w:val="1"/>
    </w:lvl>
    <w:lvl w:ilvl="1">
      <w:lvlJc w:val="left"/>
      <w:lvlText w:val="(%2)"/>
      <w:numFmt w:val="lowerLetter"/>
      <w:start w:val="3"/>
    </w:lvl>
  </w:abstractNum>
  <w:abstractNum w:abstractNumId="75">
    <w:nsid w:val="23D86AAC"/>
    <w:multiLevelType w:val="hybridMultilevel"/>
    <w:lvl w:ilvl="0">
      <w:lvlJc w:val="left"/>
      <w:lvlText w:val="%1."/>
      <w:numFmt w:val="decimal"/>
      <w:start w:val="3"/>
    </w:lvl>
    <w:lvl w:ilvl="1">
      <w:lvlJc w:val="left"/>
      <w:lvlText w:val="(%2)"/>
      <w:numFmt w:val="lowerLetter"/>
      <w:start w:val="1"/>
    </w:lvl>
  </w:abstractNum>
  <w:abstractNum w:abstractNumId="76">
    <w:nsid w:val="45E6D486"/>
    <w:multiLevelType w:val="hybridMultilevel"/>
    <w:lvl w:ilvl="0">
      <w:lvlJc w:val="left"/>
      <w:lvlText w:val="(%1)"/>
      <w:numFmt w:val="lowerLetter"/>
      <w:start w:val="2"/>
    </w:lvl>
  </w:abstractNum>
  <w:abstractNum w:abstractNumId="77">
    <w:nsid w:val="5C10FE21"/>
    <w:multiLevelType w:val="hybridMultilevel"/>
    <w:lvl w:ilvl="0">
      <w:lvlJc w:val="left"/>
      <w:lvlText w:val="%1."/>
      <w:numFmt w:val="decimal"/>
      <w:start w:val="5"/>
    </w:lvl>
  </w:abstractNum>
  <w:abstractNum w:abstractNumId="78">
    <w:nsid w:val="E7FFA2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79">
    <w:nsid w:val="3C5991A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80">
    <w:nsid w:val="4BD8591A"/>
    <w:multiLevelType w:val="hybridMultilevel"/>
    <w:lvl w:ilvl="0">
      <w:lvlJc w:val="left"/>
      <w:lvlText w:val="%1."/>
      <w:numFmt w:val="decimal"/>
      <w:start w:val="8"/>
    </w:lvl>
    <w:lvl w:ilvl="1">
      <w:lvlJc w:val="left"/>
      <w:lvlText w:val="(%2)"/>
      <w:numFmt w:val="lowerRoman"/>
      <w:start w:val="1"/>
    </w:lvl>
  </w:abstractNum>
  <w:abstractNum w:abstractNumId="81">
    <w:nsid w:val="78DF6A55"/>
    <w:multiLevelType w:val="hybridMultilevel"/>
    <w:lvl w:ilvl="0">
      <w:lvlJc w:val="left"/>
      <w:lvlText w:val="(%1)"/>
      <w:numFmt w:val="lowerRoman"/>
      <w:start w:val="2"/>
    </w:lvl>
  </w:abstractNum>
  <w:abstractNum w:abstractNumId="82">
    <w:nsid w:val="39B7AAA2"/>
    <w:multiLevelType w:val="hybridMultilevel"/>
    <w:lvl w:ilvl="0">
      <w:lvlJc w:val="left"/>
      <w:lvlText w:val="%1."/>
      <w:numFmt w:val="decimal"/>
      <w:start w:val="9"/>
    </w:lvl>
  </w:abstractNum>
  <w:abstractNum w:abstractNumId="83">
    <w:nsid w:val="2B0D8DBE"/>
    <w:multiLevelType w:val="hybridMultilevel"/>
    <w:lvl w:ilvl="0">
      <w:lvlJc w:val="left"/>
      <w:lvlText w:val="%1."/>
      <w:numFmt w:val="decimal"/>
      <w:start w:val="10"/>
    </w:lvl>
  </w:abstractNum>
  <w:abstractNum w:abstractNumId="84">
    <w:nsid w:val="6C80EC70"/>
    <w:multiLevelType w:val="hybridMultilevel"/>
    <w:lvl w:ilvl="0">
      <w:lvlJc w:val="left"/>
      <w:lvlText w:val="%1."/>
      <w:numFmt w:val="decimal"/>
      <w:start w:val="13"/>
    </w:lvl>
    <w:lvl w:ilvl="1">
      <w:lvlJc w:val="left"/>
      <w:lvlText w:val="(%2)"/>
      <w:numFmt w:val="lowerLetter"/>
      <w:start w:val="1"/>
    </w:lvl>
  </w:abstractNum>
  <w:abstractNum w:abstractNumId="85">
    <w:nsid w:val="379E21B5"/>
    <w:multiLevelType w:val="hybridMultilevel"/>
    <w:lvl w:ilvl="0">
      <w:lvlJc w:val="left"/>
      <w:lvlText w:val="(%1)"/>
      <w:numFmt w:val="lowerLetter"/>
      <w:start w:val="2"/>
    </w:lvl>
  </w:abstractNum>
  <w:abstractNum w:abstractNumId="86">
    <w:nsid w:val="69E373"/>
    <w:multiLevelType w:val="hybridMultilevel"/>
    <w:lvl w:ilvl="0">
      <w:lvlJc w:val="left"/>
      <w:lvlText w:val="(%1)"/>
      <w:numFmt w:val="lowerLetter"/>
      <w:start w:val="6"/>
    </w:lvl>
  </w:abstractNum>
  <w:abstractNum w:abstractNumId="87">
    <w:nsid w:val="2C27173B"/>
    <w:multiLevelType w:val="hybridMultilevel"/>
    <w:lvl w:ilvl="0">
      <w:lvlJc w:val="left"/>
      <w:lvlText w:val="(%1)"/>
      <w:numFmt w:val="lowerLetter"/>
      <w:start w:val="12"/>
    </w:lvl>
  </w:abstractNum>
  <w:abstractNum w:abstractNumId="88">
    <w:nsid w:val="4C9B0904"/>
    <w:multiLevelType w:val="hybridMultilevel"/>
    <w:lvl w:ilvl="0">
      <w:lvlJc w:val="left"/>
      <w:lvlText w:val="(%1)"/>
      <w:numFmt w:val="lowerLetter"/>
      <w:start w:val="17"/>
    </w:lvl>
  </w:abstractNum>
  <w:abstractNum w:abstractNumId="89">
    <w:nsid w:val="6AA7B75C"/>
    <w:multiLevelType w:val="hybridMultilevel"/>
    <w:lvl w:ilvl="0">
      <w:lvlJc w:val="left"/>
      <w:lvlText w:val="%1."/>
      <w:numFmt w:val="decimal"/>
      <w:start w:val="1"/>
    </w:lvl>
  </w:abstractNum>
  <w:abstractNum w:abstractNumId="90">
    <w:nsid w:val="1DF029D3"/>
    <w:multiLevelType w:val="hybridMultilevel"/>
    <w:lvl w:ilvl="0">
      <w:lvlJc w:val="left"/>
      <w:lvlText w:val="%1."/>
      <w:numFmt w:val="decimal"/>
      <w:start w:val="1"/>
    </w:lvl>
  </w:abstractNum>
  <w:abstractNum w:abstractNumId="91">
    <w:nsid w:val="5675FF36"/>
    <w:multiLevelType w:val="hybridMultilevel"/>
    <w:lvl w:ilvl="0">
      <w:lvlJc w:val="left"/>
      <w:lvlText w:val="%1."/>
      <w:numFmt w:val="decimal"/>
      <w:start w:val="2"/>
    </w:lvl>
  </w:abstractNum>
  <w:abstractNum w:abstractNumId="92">
    <w:nsid w:val="3DD15094"/>
    <w:multiLevelType w:val="hybridMultilevel"/>
    <w:lvl w:ilvl="0">
      <w:lvlJc w:val="left"/>
      <w:lvlText w:val="%1."/>
      <w:numFmt w:val="decimal"/>
      <w:start w:val="3"/>
    </w:lvl>
  </w:abstractNum>
  <w:abstractNum w:abstractNumId="93">
    <w:nsid w:val="3DB012B3"/>
    <w:multiLevelType w:val="hybridMultilevel"/>
    <w:lvl w:ilvl="0">
      <w:lvlJc w:val="left"/>
      <w:lvlText w:val="%1."/>
      <w:numFmt w:val="decimal"/>
      <w:start w:val="4"/>
    </w:lvl>
    <w:lvl w:ilvl="1">
      <w:lvlJc w:val="left"/>
      <w:lvlText w:val="(%2)"/>
      <w:numFmt w:val="lowerLetter"/>
      <w:start w:val="1"/>
    </w:lvl>
  </w:abstractNum>
  <w:abstractNum w:abstractNumId="94">
    <w:nsid w:val="2708C9A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95">
    <w:nsid w:val="5B25ACE2"/>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96">
    <w:nsid w:val="175DFCF0"/>
    <w:multiLevelType w:val="hybridMultilevel"/>
    <w:lvl w:ilvl="0">
      <w:lvlJc w:val="left"/>
      <w:lvlText w:val="%1"/>
      <w:numFmt w:val="decimal"/>
      <w:start w:val="1"/>
    </w:lvl>
    <w:lvl w:ilvl="1">
      <w:lvlJc w:val="left"/>
      <w:lvlText w:val="(%2)"/>
      <w:numFmt w:val="lowerLetter"/>
      <w:start w:val="3"/>
    </w:lvl>
  </w:abstractNum>
  <w:abstractNum w:abstractNumId="97">
    <w:nsid w:val="4F97E3E4"/>
    <w:multiLevelType w:val="hybridMultilevel"/>
    <w:lvl w:ilvl="0">
      <w:lvlJc w:val="left"/>
      <w:lvlText w:val="%1."/>
      <w:numFmt w:val="decimal"/>
      <w:start w:val="6"/>
    </w:lvl>
    <w:lvl w:ilvl="1">
      <w:lvlJc w:val="left"/>
      <w:lvlText w:val="%2"/>
      <w:numFmt w:val="lowerLetter"/>
      <w:start w:val="1"/>
    </w:lvl>
  </w:abstractNum>
  <w:abstractNum w:abstractNumId="98">
    <w:nsid w:val="53B0A9E"/>
    <w:multiLevelType w:val="hybridMultilevel"/>
    <w:lvl w:ilvl="0">
      <w:lvlJc w:val="left"/>
      <w:lvlText w:val="%1."/>
      <w:numFmt w:val="decimal"/>
      <w:start w:val="9"/>
    </w:lvl>
    <w:lvl w:ilvl="1">
      <w:lvlJc w:val="left"/>
      <w:lvlText w:val="(%2)"/>
      <w:numFmt w:val="lowerLetter"/>
      <w:start w:val="1"/>
    </w:lvl>
  </w:abstractNum>
  <w:abstractNum w:abstractNumId="99">
    <w:nsid w:val="34FD6B4F"/>
    <w:multiLevelType w:val="hybridMultilevel"/>
    <w:lvl w:ilvl="0">
      <w:lvlJc w:val="left"/>
      <w:lvlText w:val="%1"/>
      <w:numFmt w:val="lowerRoman"/>
      <w:start w:val="1"/>
    </w:lvl>
    <w:lvl w:ilvl="1">
      <w:lvlJc w:val="left"/>
      <w:lvlText w:val="(%2)"/>
      <w:numFmt w:val="lowerLetter"/>
      <w:start w:val="3"/>
    </w:lvl>
  </w:abstractNum>
  <w:abstractNum w:abstractNumId="100">
    <w:nsid w:val="5915FF32"/>
    <w:multiLevelType w:val="hybridMultilevel"/>
    <w:lvl w:ilvl="0">
      <w:lvlJc w:val="left"/>
      <w:lvlText w:val="(%1)"/>
      <w:numFmt w:val="lowerRoman"/>
      <w:start w:val="3"/>
    </w:lvl>
    <w:lvl w:ilvl="1">
      <w:lvlJc w:val="left"/>
      <w:lvlText w:val="%2"/>
      <w:numFmt w:val="lowerLetter"/>
      <w:start w:val="1"/>
    </w:lvl>
  </w:abstractNum>
  <w:abstractNum w:abstractNumId="101">
    <w:nsid w:val="56438D15"/>
    <w:multiLevelType w:val="hybridMultilevel"/>
    <w:lvl w:ilvl="0">
      <w:lvlJc w:val="left"/>
      <w:lvlText w:val="(%1)"/>
      <w:numFmt w:val="lowerLetter"/>
      <w:start w:val="5"/>
    </w:lvl>
    <w:lvl w:ilvl="1">
      <w:lvlJc w:val="left"/>
      <w:lvlText w:val="(%2)"/>
      <w:numFmt w:val="lowerLetter"/>
      <w:start w:val="6"/>
    </w:lvl>
  </w:abstractNum>
  <w:abstractNum w:abstractNumId="102">
    <w:nsid w:val="519E3149"/>
    <w:multiLevelType w:val="hybridMultilevel"/>
    <w:lvl w:ilvl="0">
      <w:lvlJc w:val="left"/>
      <w:lvlText w:val="(%1)"/>
      <w:numFmt w:val="lowerLetter"/>
      <w:start w:val="8"/>
    </w:lvl>
    <w:lvl w:ilvl="1">
      <w:lvlJc w:val="left"/>
      <w:lvlText w:val="%2"/>
      <w:numFmt w:val="lowerLetter"/>
      <w:start w:val="1"/>
    </w:lvl>
  </w:abstractNum>
  <w:abstractNum w:abstractNumId="103">
    <w:nsid w:val="2C6E4AFD"/>
    <w:multiLevelType w:val="hybridMultilevel"/>
    <w:lvl w:ilvl="0">
      <w:lvlJc w:val="left"/>
      <w:lvlText w:val="%1."/>
      <w:numFmt w:val="decimal"/>
      <w:start w:val="10"/>
    </w:lvl>
  </w:abstractNum>
  <w:abstractNum w:abstractNumId="104">
    <w:nsid w:val="17A1B582"/>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05">
    <w:nsid w:val="4DF72E4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06">
    <w:nsid w:val="5046B5A9"/>
    <w:multiLevelType w:val="hybridMultilevel"/>
    <w:lvl w:ilvl="0">
      <w:lvlJc w:val="left"/>
      <w:lvlText w:val="%1"/>
      <w:numFmt w:val="decimal"/>
      <w:start w:val="1"/>
    </w:lvl>
    <w:lvl w:ilvl="1">
      <w:lvlJc w:val="left"/>
      <w:lvlText w:val="(%2)"/>
      <w:numFmt w:val="lowerLetter"/>
      <w:start w:val="2"/>
    </w:lvl>
  </w:abstractNum>
  <w:abstractNum w:abstractNumId="107">
    <w:nsid w:val="5D888A08"/>
    <w:multiLevelType w:val="hybridMultilevel"/>
    <w:lvl w:ilvl="0">
      <w:lvlJc w:val="left"/>
      <w:lvlText w:val="%1."/>
      <w:numFmt w:val="decimal"/>
      <w:start w:val="12"/>
    </w:lvl>
    <w:lvl w:ilvl="1">
      <w:lvlJc w:val="left"/>
      <w:lvlText w:val="%2"/>
      <w:numFmt w:val="lowerLetter"/>
      <w:start w:val="1"/>
    </w:lvl>
  </w:abstractNum>
  <w:abstractNum w:abstractNumId="108">
    <w:nsid w:val="2A082C70"/>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09">
    <w:nsid w:val="5EC6AFD4"/>
    <w:multiLevelType w:val="hybridMultilevel"/>
    <w:lvl w:ilvl="0">
      <w:lvlJc w:val="left"/>
      <w:lvlText w:val="%1"/>
      <w:numFmt w:val="lowerLetter"/>
      <w:start w:val="1"/>
    </w:lvl>
    <w:lvl w:ilvl="1">
      <w:lvlJc w:val="left"/>
      <w:lvlText w:val="(%2)"/>
      <w:numFmt w:val="lowerLetter"/>
      <w:start w:val="35"/>
    </w:lvl>
  </w:abstractNum>
  <w:abstractNum w:abstractNumId="110">
    <w:nsid w:val="19E21BB2"/>
    <w:multiLevelType w:val="hybridMultilevel"/>
    <w:lvl w:ilvl="0">
      <w:lvlJc w:val="left"/>
      <w:lvlText w:val="(%1)"/>
      <w:numFmt w:val="lowerLetter"/>
      <w:start w:val="3"/>
    </w:lvl>
    <w:lvl w:ilvl="1">
      <w:lvlJc w:val="left"/>
      <w:lvlText w:val="%2"/>
      <w:numFmt w:val="lowerLetter"/>
      <w:start w:val="1"/>
    </w:lvl>
  </w:abstractNum>
  <w:abstractNum w:abstractNumId="111">
    <w:nsid w:val="75E0858A"/>
    <w:multiLevelType w:val="hybridMultilevel"/>
    <w:lvl w:ilvl="0">
      <w:lvlJc w:val="left"/>
      <w:lvlText w:val="(%1)"/>
      <w:numFmt w:val="lowerLetter"/>
      <w:start w:val="4"/>
    </w:lvl>
  </w:abstractNum>
  <w:abstractNum w:abstractNumId="112">
    <w:nsid w:val="57A61A29"/>
    <w:multiLevelType w:val="hybridMultilevel"/>
    <w:lvl w:ilvl="0">
      <w:lvlJc w:val="left"/>
      <w:lvlText w:val="(%1)"/>
      <w:numFmt w:val="decimal"/>
      <w:start w:val="1"/>
    </w:lvl>
    <w:lvl w:ilvl="1">
      <w:lvlJc w:val="left"/>
      <w:lvlText w:val="☐"/>
      <w:numFmt w:val="bullet"/>
      <w:start w:val="1"/>
    </w:lvl>
  </w:abstractNum>
  <w:abstractNum w:abstractNumId="113">
    <w:nsid w:val="5399C654"/>
    <w:multiLevelType w:val="hybridMultilevel"/>
    <w:lvl w:ilvl="0">
      <w:lvlJc w:val="left"/>
      <w:lvlText w:val="(%1)"/>
      <w:numFmt w:val="lowerLetter"/>
      <w:start w:val="1"/>
    </w:lvl>
  </w:abstractNum>
  <w:abstractNum w:abstractNumId="114">
    <w:nsid w:val="20EE1348"/>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abstractNum>
  <w:abstractNum w:abstractNumId="115">
    <w:nsid w:val="4427069A"/>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16">
    <w:nsid w:val="B37E80A"/>
    <w:multiLevelType w:val="hybridMultilevel"/>
    <w:lvl w:ilvl="0">
      <w:lvlJc w:val="left"/>
      <w:lvlText w:val="(%1)"/>
      <w:numFmt w:val="lowerLetter"/>
      <w:start w:val="12"/>
    </w:lvl>
  </w:abstractNum>
  <w:abstractNum w:abstractNumId="117">
    <w:nsid w:val="2157F6BC"/>
    <w:multiLevelType w:val="hybridMultilevel"/>
    <w:lvl w:ilvl="0">
      <w:lvlJc w:val="left"/>
      <w:lvlText w:val="(%1)"/>
      <w:numFmt w:val="lowerLetter"/>
      <w:start w:val="1"/>
    </w:lvl>
    <w:lvl w:ilvl="1">
      <w:lvlJc w:val="left"/>
      <w:lvlText w:val="%2."/>
      <w:numFmt w:val="lowerRoman"/>
      <w:start w:val="1"/>
    </w:lvl>
  </w:abstractNum>
  <w:abstractNum w:abstractNumId="118">
    <w:nsid w:val="704E1DD5"/>
    <w:multiLevelType w:val="hybridMultilevel"/>
    <w:lvl w:ilvl="0">
      <w:lvlJc w:val="left"/>
      <w:lvlText w:val="%1"/>
      <w:numFmt w:val="lowerLetter"/>
      <w:start w:val="1"/>
    </w:lvl>
    <w:lvl w:ilvl="1">
      <w:lvlJc w:val="left"/>
      <w:lvlText w:val="%2."/>
      <w:numFmt w:val="lowerRoman"/>
      <w:start w:val="5"/>
    </w:lvl>
  </w:abstractNum>
  <w:abstractNum w:abstractNumId="119">
    <w:nsid w:val="57D2F10E"/>
    <w:multiLevelType w:val="hybridMultilevel"/>
    <w:lvl w:ilvl="0">
      <w:lvlJc w:val="left"/>
      <w:lvlText w:val="(%1)"/>
      <w:numFmt w:val="lowerLetter"/>
      <w:start w:val="3"/>
    </w:lvl>
    <w:lvl w:ilvl="1">
      <w:lvlJc w:val="left"/>
      <w:lvlText w:val="%2."/>
      <w:numFmt w:val="lowerRoman"/>
      <w:start w:val="1"/>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lowerLetter"/>
      <w:start w:val="2"/>
    </w:lvl>
  </w:abstractNum>
  <w:abstractNum w:abstractNumId="122">
    <w:nsid w:val="2E48F044"/>
    <w:multiLevelType w:val="hybridMultilevel"/>
    <w:lvl w:ilvl="0">
      <w:lvlJc w:val="left"/>
      <w:lvlText w:val="(%1)"/>
      <w:numFmt w:val="lowerLetter"/>
      <w:start w:val="1"/>
    </w:lvl>
  </w:abstractNum>
  <w:abstractNum w:abstractNumId="123">
    <w:nsid w:val="49D0FEAC"/>
    <w:multiLevelType w:val="hybridMultilevel"/>
    <w:lvl w:ilvl="0">
      <w:lvlJc w:val="left"/>
      <w:lvlText w:val="(%1)"/>
      <w:numFmt w:val="lowerLetter"/>
      <w:start w:val="3"/>
    </w:lvl>
  </w:abstractNum>
  <w:abstractNum w:abstractNumId="124">
    <w:nsid w:val="4BEE5A5B"/>
    <w:multiLevelType w:val="hybridMultilevel"/>
    <w:lvl w:ilvl="0">
      <w:lvlJc w:val="left"/>
      <w:lvlText w:val="(%1)"/>
      <w:numFmt w:val="lowerRoman"/>
      <w:start w:val="1"/>
    </w:lvl>
  </w:abstractNum>
  <w:abstractNum w:abstractNumId="125">
    <w:nsid w:val="5551B9F3"/>
    <w:multiLevelType w:val="hybridMultilevel"/>
    <w:lvl w:ilvl="0">
      <w:lvlJc w:val="left"/>
      <w:lvlText w:val="(%1)"/>
      <w:numFmt w:val="lowerRoman"/>
      <w:start w:val="3"/>
    </w:lvl>
  </w:abstractNum>
  <w:abstractNum w:abstractNumId="126">
    <w:nsid w:val="24F6AB8E"/>
    <w:multiLevelType w:val="hybridMultilevel"/>
    <w:lvl w:ilvl="0">
      <w:lvlJc w:val="left"/>
      <w:lvlText w:val="(%1)"/>
      <w:numFmt w:val="lowerRoman"/>
      <w:start w:val="1"/>
    </w:lvl>
  </w:abstractNum>
  <w:abstractNum w:abstractNumId="127">
    <w:nsid w:val="634C574C"/>
    <w:multiLevelType w:val="hybridMultilevel"/>
    <w:lvl w:ilvl="0">
      <w:lvlJc w:val="left"/>
      <w:lvlText w:val="(%1)"/>
      <w:numFmt w:val="lowerLetter"/>
      <w:start w:val="1"/>
    </w:lvl>
  </w:abstractNum>
  <w:abstractNum w:abstractNumId="128">
    <w:nsid w:val="24E99DD7"/>
    <w:multiLevelType w:val="hybridMultilevel"/>
    <w:lvl w:ilvl="0">
      <w:lvlJc w:val="left"/>
      <w:lvlText w:val="%1"/>
      <w:numFmt w:val="lowerLetter"/>
      <w:start w:val="1"/>
    </w:lvl>
    <w:lvl w:ilvl="1">
      <w:lvlJc w:val="left"/>
      <w:lvlText w:val="(%2)"/>
      <w:numFmt w:val="lowerLetter"/>
      <w:start w:val="3"/>
    </w:lvl>
  </w:abstractNum>
  <w:abstractNum w:abstractNumId="129">
    <w:nsid w:val="2A31B62D"/>
    <w:multiLevelType w:val="hybridMultilevel"/>
    <w:lvl w:ilvl="0">
      <w:lvlJc w:val="left"/>
      <w:lvlText w:val="(%1)"/>
      <w:numFmt w:val="lowerLetter"/>
      <w:start w:val="9"/>
    </w:lvl>
    <w:lvl w:ilvl="1">
      <w:lvlJc w:val="left"/>
      <w:lvlText w:val="(%2)"/>
      <w:numFmt w:val="lowerLetter"/>
      <w:start w:val="4"/>
    </w:lvl>
  </w:abstractNum>
  <w:abstractNum w:abstractNumId="130">
    <w:nsid w:val="1849C29B"/>
    <w:multiLevelType w:val="hybridMultilevel"/>
    <w:lvl w:ilvl="0">
      <w:lvlJc w:val="left"/>
      <w:lvlText w:val="%1"/>
      <w:numFmt w:val="lowerLetter"/>
      <w:start w:val="1"/>
    </w:lvl>
    <w:lvl w:ilvl="1">
      <w:lvlJc w:val="left"/>
      <w:lvlText w:val="(%2)"/>
      <w:numFmt w:val="lowerLetter"/>
      <w:start w:val="5"/>
    </w:lvl>
  </w:abstractNum>
  <w:abstractNum w:abstractNumId="131">
    <w:nsid w:val="7DFF9D09"/>
    <w:multiLevelType w:val="hybridMultilevel"/>
    <w:lvl w:ilvl="0">
      <w:lvlJc w:val="left"/>
      <w:lvlText w:val="(%1)"/>
      <w:numFmt w:val="lowerLetter"/>
      <w:start w:val="35"/>
    </w:lvl>
    <w:lvl w:ilvl="1">
      <w:lvlJc w:val="left"/>
      <w:lvlText w:val="(%2)"/>
      <w:numFmt w:val="lowerLetter"/>
      <w:start w:val="10"/>
    </w:lvl>
  </w:abstractNum>
  <w:abstractNum w:abstractNumId="132">
    <w:nsid w:val="754342"/>
    <w:multiLevelType w:val="hybridMultilevel"/>
    <w:lvl w:ilvl="0">
      <w:lvlJc w:val="left"/>
      <w:lvlText w:val="(%1)"/>
      <w:numFmt w:val="lowerLetter"/>
      <w:start w:val="1"/>
    </w:lvl>
  </w:abstractNum>
  <w:abstractNum w:abstractNumId="133">
    <w:nsid w:val="69E7F3E5"/>
    <w:multiLevelType w:val="hybridMultilevel"/>
    <w:lvl w:ilvl="0">
      <w:lvlJc w:val="left"/>
      <w:lvlText w:val="%1"/>
      <w:numFmt w:val="lowerLetter"/>
      <w:start w:val="1"/>
    </w:lvl>
    <w:lvl w:ilvl="1">
      <w:lvlJc w:val="left"/>
      <w:lvlText w:val="(%2)"/>
      <w:numFmt w:val="lowerLetter"/>
      <w:start w:val="2"/>
    </w:lvl>
  </w:abstractNum>
  <w:abstractNum w:abstractNumId="134">
    <w:nsid w:val="2A6DE806"/>
    <w:multiLevelType w:val="hybridMultilevel"/>
    <w:lvl w:ilvl="0">
      <w:lvlJc w:val="left"/>
      <w:lvlText w:val="(%1)"/>
      <w:numFmt w:val="lowerLetter"/>
      <w:start w:val="35"/>
    </w:lvl>
    <w:lvl w:ilvl="1">
      <w:lvlJc w:val="left"/>
      <w:lvlText w:val="%2"/>
      <w:numFmt w:val="lowerLetter"/>
      <w:start w:val="1"/>
    </w:lvl>
  </w:abstractNum>
  <w:abstractNum w:abstractNumId="135">
    <w:nsid w:val="1816F8C4"/>
    <w:multiLevelType w:val="hybridMultilevel"/>
    <w:lvl w:ilvl="0">
      <w:lvlJc w:val="left"/>
      <w:lvlText w:val="(%1)"/>
      <w:numFmt w:val="lowerLetter"/>
      <w:start w:val="3"/>
    </w:lvl>
  </w:abstractNum>
  <w:abstractNum w:abstractNumId="136">
    <w:nsid w:val="37DF2233"/>
    <w:multiLevelType w:val="hybridMultilevel"/>
    <w:lvl w:ilvl="0">
      <w:lvlJc w:val="left"/>
      <w:lvlText w:val="(%1)"/>
      <w:numFmt w:val="lowerLetter"/>
      <w:start w:val="4"/>
    </w:lvl>
  </w:abstractNum>
  <w:abstractNum w:abstractNumId="137">
    <w:nsid w:val="7AB49DAF"/>
    <w:multiLevelType w:val="hybridMultilevel"/>
    <w:lvl w:ilvl="0">
      <w:lvlJc w:val="left"/>
      <w:lvlText w:val="(%1)"/>
      <w:numFmt w:val="lowerRoman"/>
      <w:start w:val="2"/>
    </w:lvl>
  </w:abstractNum>
  <w:abstractNum w:abstractNumId="138">
    <w:nsid w:val="759F82CD"/>
    <w:multiLevelType w:val="hybridMultilevel"/>
    <w:lvl w:ilvl="0">
      <w:lvlJc w:val="left"/>
      <w:lvlText w:val="(%1)"/>
      <w:numFmt w:val="decimal"/>
      <w:start w:val="3"/>
    </w:lvl>
  </w:abstractNum>
  <w:abstractNum w:abstractNumId="139">
    <w:nsid w:val="61E74EA3"/>
    <w:multiLevelType w:val="hybridMultilevel"/>
    <w:lvl w:ilvl="0">
      <w:lvlJc w:val="left"/>
      <w:lvlText w:val="%1"/>
      <w:numFmt w:val="lowerLetter"/>
      <w:start w:val="1"/>
    </w:lvl>
    <w:lvl w:ilvl="1">
      <w:lvlJc w:val="left"/>
      <w:lvlText w:val="(%2)"/>
      <w:numFmt w:val="lowerLetter"/>
      <w:start w:val="1"/>
    </w:lvl>
  </w:abstractNum>
  <w:abstractNum w:abstractNumId="140">
    <w:nsid w:val="597B4D84"/>
    <w:multiLevelType w:val="hybridMultilevel"/>
    <w:lvl w:ilvl="0">
      <w:lvlJc w:val="left"/>
      <w:lvlText w:val="(%1)"/>
      <w:numFmt w:val="lowerLetter"/>
      <w:start w:val="35"/>
    </w:lvl>
    <w:lvl w:ilvl="1">
      <w:lvlJc w:val="left"/>
      <w:lvlText w:val="(%2)"/>
      <w:numFmt w:val="lowerLetter"/>
      <w:start w:val="2"/>
    </w:lvl>
  </w:abstractNum>
  <w:abstractNum w:abstractNumId="141">
    <w:nsid w:val="F819E7F"/>
    <w:multiLevelType w:val="hybridMultilevel"/>
    <w:lvl w:ilvl="0">
      <w:lvlJc w:val="left"/>
      <w:lvlText w:val="(%1)"/>
      <w:numFmt w:val="lowerLetter"/>
      <w:start w:val="3"/>
    </w:lvl>
  </w:abstractNum>
  <w:abstractNum w:abstractNumId="142">
    <w:nsid w:val="57C7D42D"/>
    <w:multiLevelType w:val="hybridMultilevel"/>
    <w:lvl w:ilvl="0">
      <w:lvlJc w:val="left"/>
      <w:lvlText w:val="(%1)"/>
      <w:numFmt w:val="lowerLetter"/>
      <w:start w:val="1"/>
    </w:lvl>
  </w:abstractNum>
  <w:abstractNum w:abstractNumId="143">
    <w:nsid w:val="312167AD"/>
    <w:multiLevelType w:val="hybridMultilevel"/>
    <w:lvl w:ilvl="0">
      <w:lvlJc w:val="left"/>
      <w:lvlText w:val="(%1)"/>
      <w:numFmt w:val="lowerLetter"/>
      <w:start w:val="2"/>
    </w:lvl>
  </w:abstractNum>
  <w:abstractNum w:abstractNumId="144">
    <w:nsid w:val="631B64D4"/>
    <w:multiLevelType w:val="hybridMultilevel"/>
    <w:lvl w:ilvl="0">
      <w:lvlJc w:val="left"/>
      <w:lvlText w:val="●"/>
      <w:numFmt w:val="bullet"/>
      <w:start w:val="1"/>
    </w:lvl>
    <w:lvl w:ilvl="1">
      <w:lvlJc w:val="left"/>
      <w:lvlText w:val="●"/>
      <w:numFmt w:val="bullet"/>
      <w:start w:val="1"/>
    </w:lvl>
  </w:abstractNum>
  <w:abstractNum w:abstractNumId="145">
    <w:nsid w:val="78B5E776"/>
    <w:multiLevelType w:val="hybridMultilevel"/>
    <w:lvl w:ilvl="0">
      <w:lvlJc w:val="left"/>
      <w:lvlText w:val="o"/>
      <w:numFmt w:val="bullet"/>
      <w:start w:val="1"/>
    </w:lvl>
  </w:abstractNum>
  <w:abstractNum w:abstractNumId="146">
    <w:nsid w:val="75486E47"/>
    <w:multiLevelType w:val="hybridMultilevel"/>
    <w:lvl w:ilvl="0">
      <w:lvlJc w:val="left"/>
      <w:lvlText w:val="●"/>
      <w:numFmt w:val="bullet"/>
      <w:start w:val="1"/>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2026-06-10T06:43:26Z</dcterms:created>
  <dcterms:modified xsi:type="dcterms:W3CDTF">2026-06-10T06:43:26Z</dcterms:modified>
</cp:coreProperties>
</file>